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AEDA" w14:textId="77777777" w:rsidR="000117AD" w:rsidRPr="00E11C45" w:rsidRDefault="000117AD">
      <w:pPr>
        <w:pStyle w:val="BodyText"/>
        <w:rPr>
          <w:rFonts w:ascii="Times New Roman" w:hAnsi="Times New Roman" w:cs="Times New Roman"/>
          <w:sz w:val="48"/>
        </w:rPr>
      </w:pPr>
    </w:p>
    <w:p w14:paraId="3E90E4D8" w14:textId="77777777" w:rsidR="000117AD" w:rsidRPr="00E11C45" w:rsidRDefault="000117AD">
      <w:pPr>
        <w:pStyle w:val="BodyText"/>
        <w:rPr>
          <w:rFonts w:ascii="Times New Roman" w:hAnsi="Times New Roman" w:cs="Times New Roman"/>
          <w:sz w:val="48"/>
        </w:rPr>
      </w:pPr>
    </w:p>
    <w:p w14:paraId="57A811DA" w14:textId="77777777" w:rsidR="000117AD" w:rsidRPr="00E11C45" w:rsidRDefault="000117AD">
      <w:pPr>
        <w:pStyle w:val="BodyText"/>
        <w:rPr>
          <w:rFonts w:ascii="Times New Roman" w:hAnsi="Times New Roman" w:cs="Times New Roman"/>
          <w:sz w:val="48"/>
        </w:rPr>
      </w:pPr>
    </w:p>
    <w:p w14:paraId="65C1BACD" w14:textId="77777777" w:rsidR="000117AD" w:rsidRPr="00E11C45" w:rsidRDefault="000117AD">
      <w:pPr>
        <w:pStyle w:val="BodyText"/>
        <w:rPr>
          <w:rFonts w:ascii="Times New Roman" w:hAnsi="Times New Roman" w:cs="Times New Roman"/>
          <w:sz w:val="48"/>
        </w:rPr>
      </w:pPr>
    </w:p>
    <w:p w14:paraId="542825CF" w14:textId="77777777" w:rsidR="000117AD" w:rsidRPr="00E11C45" w:rsidRDefault="000117AD">
      <w:pPr>
        <w:pStyle w:val="BodyText"/>
        <w:spacing w:before="16"/>
        <w:rPr>
          <w:rFonts w:ascii="Times New Roman" w:hAnsi="Times New Roman" w:cs="Times New Roman"/>
          <w:sz w:val="48"/>
        </w:rPr>
      </w:pPr>
    </w:p>
    <w:p w14:paraId="233F6026" w14:textId="77777777" w:rsidR="000117AD" w:rsidRPr="00E11C45" w:rsidRDefault="00000000">
      <w:pPr>
        <w:pStyle w:val="Title"/>
      </w:pPr>
      <w:bookmarkStart w:id="0" w:name="1DRAFT_-_Appeal_Brief"/>
      <w:bookmarkEnd w:id="0"/>
      <w:r w:rsidRPr="00E11C45">
        <w:t>SierraLynn</w:t>
      </w:r>
      <w:r w:rsidRPr="00E11C45">
        <w:rPr>
          <w:spacing w:val="-10"/>
        </w:rPr>
        <w:t xml:space="preserve"> </w:t>
      </w:r>
      <w:r w:rsidRPr="00E11C45">
        <w:rPr>
          <w:spacing w:val="-2"/>
        </w:rPr>
        <w:t>Anderson</w:t>
      </w:r>
    </w:p>
    <w:p w14:paraId="51586580" w14:textId="77777777" w:rsidR="000117AD" w:rsidRPr="00E11C45" w:rsidRDefault="000117AD">
      <w:pPr>
        <w:pStyle w:val="BodyText"/>
        <w:spacing w:before="1"/>
        <w:rPr>
          <w:rFonts w:ascii="Times New Roman" w:hAnsi="Times New Roman" w:cs="Times New Roman"/>
          <w:b/>
          <w:sz w:val="48"/>
        </w:rPr>
      </w:pPr>
    </w:p>
    <w:p w14:paraId="473AB538" w14:textId="77777777" w:rsidR="000117AD" w:rsidRPr="00E11C45" w:rsidRDefault="00000000">
      <w:pPr>
        <w:spacing w:line="482" w:lineRule="auto"/>
        <w:ind w:left="1074" w:right="1792"/>
        <w:jc w:val="center"/>
        <w:rPr>
          <w:sz w:val="36"/>
        </w:rPr>
      </w:pPr>
      <w:r w:rsidRPr="00E11C45">
        <w:rPr>
          <w:sz w:val="36"/>
        </w:rPr>
        <w:t>Course:</w:t>
      </w:r>
      <w:r w:rsidRPr="00E11C45">
        <w:rPr>
          <w:spacing w:val="-8"/>
          <w:sz w:val="36"/>
        </w:rPr>
        <w:t xml:space="preserve"> </w:t>
      </w:r>
      <w:r w:rsidRPr="00E11C45">
        <w:rPr>
          <w:color w:val="262626"/>
          <w:sz w:val="36"/>
        </w:rPr>
        <w:t>LAW-6272-01</w:t>
      </w:r>
      <w:r w:rsidRPr="00E11C45">
        <w:rPr>
          <w:color w:val="262626"/>
          <w:spacing w:val="-8"/>
          <w:sz w:val="36"/>
        </w:rPr>
        <w:t xml:space="preserve"> </w:t>
      </w:r>
      <w:r w:rsidRPr="00E11C45">
        <w:rPr>
          <w:sz w:val="36"/>
        </w:rPr>
        <w:t>-</w:t>
      </w:r>
      <w:r w:rsidRPr="00E11C45">
        <w:rPr>
          <w:spacing w:val="-8"/>
          <w:sz w:val="36"/>
        </w:rPr>
        <w:t xml:space="preserve"> </w:t>
      </w:r>
      <w:r w:rsidRPr="00E11C45">
        <w:rPr>
          <w:sz w:val="36"/>
        </w:rPr>
        <w:t>Legal</w:t>
      </w:r>
      <w:r w:rsidRPr="00E11C45">
        <w:rPr>
          <w:spacing w:val="-8"/>
          <w:sz w:val="36"/>
        </w:rPr>
        <w:t xml:space="preserve"> </w:t>
      </w:r>
      <w:r w:rsidRPr="00E11C45">
        <w:rPr>
          <w:sz w:val="36"/>
        </w:rPr>
        <w:t>Writing</w:t>
      </w:r>
      <w:r w:rsidRPr="00E11C45">
        <w:rPr>
          <w:spacing w:val="-8"/>
          <w:sz w:val="36"/>
        </w:rPr>
        <w:t xml:space="preserve"> </w:t>
      </w:r>
      <w:r w:rsidRPr="00E11C45">
        <w:rPr>
          <w:sz w:val="36"/>
        </w:rPr>
        <w:t>III Professor: Karen Grundy</w:t>
      </w:r>
    </w:p>
    <w:p w14:paraId="3246F764" w14:textId="77777777" w:rsidR="000117AD" w:rsidRPr="00E11C45" w:rsidRDefault="00000000">
      <w:pPr>
        <w:spacing w:line="406" w:lineRule="exact"/>
        <w:ind w:left="1075" w:right="1792"/>
        <w:jc w:val="center"/>
        <w:rPr>
          <w:sz w:val="36"/>
        </w:rPr>
      </w:pPr>
      <w:r w:rsidRPr="00E11C45">
        <w:rPr>
          <w:sz w:val="36"/>
        </w:rPr>
        <w:t xml:space="preserve">Term: Fall </w:t>
      </w:r>
      <w:r w:rsidRPr="00E11C45">
        <w:rPr>
          <w:spacing w:val="-4"/>
          <w:sz w:val="36"/>
        </w:rPr>
        <w:t>2025</w:t>
      </w:r>
    </w:p>
    <w:p w14:paraId="678D8D32" w14:textId="77777777" w:rsidR="000117AD" w:rsidRPr="00E11C45" w:rsidRDefault="000117AD">
      <w:pPr>
        <w:pStyle w:val="BodyText"/>
        <w:spacing w:before="3"/>
        <w:rPr>
          <w:rFonts w:ascii="Times New Roman" w:hAnsi="Times New Roman" w:cs="Times New Roman"/>
          <w:sz w:val="36"/>
        </w:rPr>
      </w:pPr>
    </w:p>
    <w:p w14:paraId="3C6E9726" w14:textId="77777777" w:rsidR="000117AD" w:rsidRPr="00E11C45" w:rsidRDefault="00000000">
      <w:pPr>
        <w:ind w:left="1075" w:right="1792"/>
        <w:jc w:val="center"/>
        <w:rPr>
          <w:sz w:val="36"/>
        </w:rPr>
      </w:pPr>
      <w:r w:rsidRPr="00E11C45">
        <w:rPr>
          <w:sz w:val="36"/>
        </w:rPr>
        <w:t xml:space="preserve">Date: November 6, </w:t>
      </w:r>
      <w:r w:rsidRPr="00E11C45">
        <w:rPr>
          <w:spacing w:val="-4"/>
          <w:sz w:val="36"/>
        </w:rPr>
        <w:t>2025</w:t>
      </w:r>
    </w:p>
    <w:p w14:paraId="048B8F17" w14:textId="77777777" w:rsidR="000117AD" w:rsidRDefault="000117AD">
      <w:pPr>
        <w:jc w:val="center"/>
        <w:rPr>
          <w:sz w:val="36"/>
        </w:rPr>
      </w:pPr>
    </w:p>
    <w:p w14:paraId="207217C5" w14:textId="77777777" w:rsidR="00806AB2" w:rsidRPr="00806AB2" w:rsidRDefault="00806AB2" w:rsidP="00806AB2">
      <w:pPr>
        <w:rPr>
          <w:sz w:val="36"/>
        </w:rPr>
      </w:pPr>
    </w:p>
    <w:p w14:paraId="1CD46B60" w14:textId="77777777" w:rsidR="00806AB2" w:rsidRPr="00806AB2" w:rsidRDefault="00806AB2" w:rsidP="00806AB2">
      <w:pPr>
        <w:rPr>
          <w:sz w:val="36"/>
        </w:rPr>
      </w:pPr>
    </w:p>
    <w:p w14:paraId="4697315D" w14:textId="77777777" w:rsidR="00806AB2" w:rsidRPr="00806AB2" w:rsidRDefault="00806AB2" w:rsidP="00806AB2">
      <w:pPr>
        <w:rPr>
          <w:sz w:val="36"/>
        </w:rPr>
      </w:pPr>
    </w:p>
    <w:p w14:paraId="08FA0567" w14:textId="77777777" w:rsidR="00806AB2" w:rsidRPr="00806AB2" w:rsidRDefault="00806AB2" w:rsidP="00806AB2">
      <w:pPr>
        <w:rPr>
          <w:sz w:val="36"/>
        </w:rPr>
      </w:pPr>
    </w:p>
    <w:p w14:paraId="0060D3A0" w14:textId="77777777" w:rsidR="00806AB2" w:rsidRPr="00806AB2" w:rsidRDefault="00806AB2" w:rsidP="00806AB2">
      <w:pPr>
        <w:rPr>
          <w:sz w:val="36"/>
        </w:rPr>
      </w:pPr>
    </w:p>
    <w:p w14:paraId="1B22C9F4" w14:textId="77777777" w:rsidR="00806AB2" w:rsidRPr="00806AB2" w:rsidRDefault="00806AB2" w:rsidP="00806AB2">
      <w:pPr>
        <w:rPr>
          <w:sz w:val="36"/>
        </w:rPr>
      </w:pPr>
    </w:p>
    <w:p w14:paraId="4105C716" w14:textId="77777777" w:rsidR="00806AB2" w:rsidRPr="00806AB2" w:rsidRDefault="00806AB2" w:rsidP="00806AB2">
      <w:pPr>
        <w:rPr>
          <w:sz w:val="36"/>
        </w:rPr>
      </w:pPr>
    </w:p>
    <w:p w14:paraId="1FBD2FE6" w14:textId="77777777" w:rsidR="00806AB2" w:rsidRPr="00806AB2" w:rsidRDefault="00806AB2" w:rsidP="00806AB2">
      <w:pPr>
        <w:rPr>
          <w:sz w:val="36"/>
        </w:rPr>
      </w:pPr>
    </w:p>
    <w:p w14:paraId="25D4F34D" w14:textId="77777777" w:rsidR="00806AB2" w:rsidRPr="00806AB2" w:rsidRDefault="00806AB2" w:rsidP="00806AB2">
      <w:pPr>
        <w:rPr>
          <w:sz w:val="36"/>
        </w:rPr>
      </w:pPr>
    </w:p>
    <w:p w14:paraId="48541641" w14:textId="77777777" w:rsidR="00806AB2" w:rsidRPr="00806AB2" w:rsidRDefault="00806AB2" w:rsidP="00806AB2">
      <w:pPr>
        <w:rPr>
          <w:sz w:val="36"/>
        </w:rPr>
      </w:pPr>
    </w:p>
    <w:p w14:paraId="15A14D93" w14:textId="77777777" w:rsidR="00806AB2" w:rsidRPr="00806AB2" w:rsidRDefault="00806AB2" w:rsidP="00806AB2">
      <w:pPr>
        <w:rPr>
          <w:sz w:val="36"/>
        </w:rPr>
      </w:pPr>
    </w:p>
    <w:p w14:paraId="22BE5239" w14:textId="77777777" w:rsidR="00806AB2" w:rsidRPr="00806AB2" w:rsidRDefault="00806AB2" w:rsidP="00806AB2">
      <w:pPr>
        <w:rPr>
          <w:sz w:val="36"/>
        </w:rPr>
      </w:pPr>
    </w:p>
    <w:p w14:paraId="13CC2429" w14:textId="77777777" w:rsidR="00806AB2" w:rsidRPr="00806AB2" w:rsidRDefault="00806AB2" w:rsidP="00806AB2">
      <w:pPr>
        <w:rPr>
          <w:sz w:val="36"/>
        </w:rPr>
      </w:pPr>
    </w:p>
    <w:p w14:paraId="2282E8F1" w14:textId="5AF44055" w:rsidR="00806AB2" w:rsidRPr="00806AB2" w:rsidRDefault="00806AB2" w:rsidP="00806AB2">
      <w:pPr>
        <w:rPr>
          <w:sz w:val="36"/>
        </w:rPr>
      </w:pPr>
    </w:p>
    <w:p w14:paraId="79A95A6D" w14:textId="4D8355A7" w:rsidR="00806AB2" w:rsidRPr="00806AB2" w:rsidRDefault="00806AB2" w:rsidP="00806AB2">
      <w:pPr>
        <w:tabs>
          <w:tab w:val="left" w:pos="4500"/>
          <w:tab w:val="center" w:pos="5040"/>
        </w:tabs>
        <w:jc w:val="center"/>
        <w:rPr>
          <w:sz w:val="36"/>
        </w:rPr>
        <w:sectPr w:rsidR="00806AB2" w:rsidRPr="00806AB2" w:rsidSect="00021407">
          <w:footerReference w:type="even" r:id="rId7"/>
          <w:footerReference w:type="default" r:id="rId8"/>
          <w:type w:val="continuous"/>
          <w:pgSz w:w="12240" w:h="15840"/>
          <w:pgMar w:top="1820" w:right="1080" w:bottom="280" w:left="1080" w:header="720" w:footer="720" w:gutter="0"/>
          <w:cols w:space="720"/>
          <w:titlePg/>
        </w:sectPr>
      </w:pPr>
    </w:p>
    <w:p w14:paraId="70FF0EB1" w14:textId="77777777" w:rsidR="000117AD" w:rsidRPr="00E11C45" w:rsidRDefault="00000000">
      <w:pPr>
        <w:spacing w:before="75"/>
        <w:ind w:left="1600" w:right="1792"/>
        <w:jc w:val="center"/>
        <w:rPr>
          <w:sz w:val="23"/>
        </w:rPr>
      </w:pPr>
      <w:r w:rsidRPr="00E11C45">
        <w:rPr>
          <w:sz w:val="23"/>
        </w:rPr>
        <w:lastRenderedPageBreak/>
        <w:t>In</w:t>
      </w:r>
      <w:r w:rsidRPr="00E11C45">
        <w:rPr>
          <w:spacing w:val="2"/>
          <w:sz w:val="23"/>
        </w:rPr>
        <w:t xml:space="preserve"> </w:t>
      </w:r>
      <w:r w:rsidRPr="00E11C45">
        <w:rPr>
          <w:spacing w:val="-5"/>
          <w:sz w:val="23"/>
        </w:rPr>
        <w:t>The</w:t>
      </w:r>
    </w:p>
    <w:p w14:paraId="03E38953" w14:textId="77777777" w:rsidR="000117AD" w:rsidRPr="00E11C45" w:rsidRDefault="00000000">
      <w:pPr>
        <w:spacing w:before="9" w:line="252" w:lineRule="auto"/>
        <w:ind w:left="2738" w:right="2935"/>
        <w:jc w:val="center"/>
        <w:rPr>
          <w:sz w:val="23"/>
        </w:rPr>
      </w:pPr>
      <w:r w:rsidRPr="00E11C45">
        <w:rPr>
          <w:sz w:val="23"/>
        </w:rPr>
        <w:t>UNITED</w:t>
      </w:r>
      <w:r w:rsidRPr="00E11C45">
        <w:rPr>
          <w:spacing w:val="-10"/>
          <w:sz w:val="23"/>
        </w:rPr>
        <w:t xml:space="preserve"> </w:t>
      </w:r>
      <w:r w:rsidRPr="00E11C45">
        <w:rPr>
          <w:sz w:val="23"/>
        </w:rPr>
        <w:t>STATED</w:t>
      </w:r>
      <w:r w:rsidRPr="00E11C45">
        <w:rPr>
          <w:spacing w:val="-10"/>
          <w:sz w:val="23"/>
        </w:rPr>
        <w:t xml:space="preserve"> </w:t>
      </w:r>
      <w:r w:rsidRPr="00E11C45">
        <w:rPr>
          <w:sz w:val="23"/>
        </w:rPr>
        <w:t>COURT</w:t>
      </w:r>
      <w:r w:rsidRPr="00E11C45">
        <w:rPr>
          <w:spacing w:val="-10"/>
          <w:sz w:val="23"/>
        </w:rPr>
        <w:t xml:space="preserve"> </w:t>
      </w:r>
      <w:r w:rsidRPr="00E11C45">
        <w:rPr>
          <w:sz w:val="23"/>
        </w:rPr>
        <w:t>OF</w:t>
      </w:r>
      <w:r w:rsidRPr="00E11C45">
        <w:rPr>
          <w:spacing w:val="-10"/>
          <w:sz w:val="23"/>
        </w:rPr>
        <w:t xml:space="preserve"> </w:t>
      </w:r>
      <w:r w:rsidRPr="00E11C45">
        <w:rPr>
          <w:sz w:val="23"/>
        </w:rPr>
        <w:t>APPEALS FOR THE FIFTH CIRCUIT</w:t>
      </w:r>
    </w:p>
    <w:p w14:paraId="4B17F3B8" w14:textId="77777777" w:rsidR="000117AD" w:rsidRPr="00E11C45" w:rsidRDefault="000117AD">
      <w:pPr>
        <w:pStyle w:val="BodyText"/>
        <w:rPr>
          <w:rFonts w:ascii="Times New Roman" w:hAnsi="Times New Roman" w:cs="Times New Roman"/>
          <w:sz w:val="23"/>
        </w:rPr>
      </w:pPr>
    </w:p>
    <w:p w14:paraId="70EDA704" w14:textId="77777777" w:rsidR="000117AD" w:rsidRPr="00E11C45" w:rsidRDefault="00000000">
      <w:pPr>
        <w:spacing w:before="1" w:line="489" w:lineRule="auto"/>
        <w:ind w:left="3799" w:right="3984" w:hanging="6"/>
        <w:jc w:val="center"/>
        <w:rPr>
          <w:sz w:val="23"/>
        </w:rPr>
      </w:pPr>
      <w:r w:rsidRPr="00E11C45">
        <w:rPr>
          <w:sz w:val="23"/>
        </w:rPr>
        <w:t>Docket No. 25-0320 EDWARD</w:t>
      </w:r>
      <w:r w:rsidRPr="00E11C45">
        <w:rPr>
          <w:spacing w:val="-15"/>
          <w:sz w:val="23"/>
        </w:rPr>
        <w:t xml:space="preserve"> </w:t>
      </w:r>
      <w:r w:rsidRPr="00E11C45">
        <w:rPr>
          <w:sz w:val="23"/>
        </w:rPr>
        <w:t>J.</w:t>
      </w:r>
      <w:r w:rsidRPr="00E11C45">
        <w:rPr>
          <w:spacing w:val="-14"/>
          <w:sz w:val="23"/>
        </w:rPr>
        <w:t xml:space="preserve"> </w:t>
      </w:r>
      <w:r w:rsidRPr="00E11C45">
        <w:rPr>
          <w:sz w:val="23"/>
        </w:rPr>
        <w:t xml:space="preserve">MORGAN </w:t>
      </w:r>
      <w:r w:rsidRPr="00E11C45">
        <w:rPr>
          <w:spacing w:val="-2"/>
          <w:sz w:val="23"/>
        </w:rPr>
        <w:t>APPELLANT,</w:t>
      </w:r>
    </w:p>
    <w:p w14:paraId="682D481A" w14:textId="77777777" w:rsidR="000117AD" w:rsidRPr="00E11C45" w:rsidRDefault="00000000">
      <w:pPr>
        <w:spacing w:before="52"/>
        <w:ind w:left="585" w:right="719"/>
        <w:jc w:val="center"/>
        <w:rPr>
          <w:sz w:val="20"/>
        </w:rPr>
      </w:pPr>
      <w:r w:rsidRPr="00E11C45">
        <w:rPr>
          <w:spacing w:val="-5"/>
          <w:sz w:val="20"/>
        </w:rPr>
        <w:t>V.</w:t>
      </w:r>
    </w:p>
    <w:p w14:paraId="2C33ECD5" w14:textId="77777777" w:rsidR="000117AD" w:rsidRPr="00E11C45" w:rsidRDefault="000117AD">
      <w:pPr>
        <w:pStyle w:val="BodyText"/>
        <w:spacing w:before="50"/>
        <w:rPr>
          <w:rFonts w:ascii="Times New Roman" w:hAnsi="Times New Roman" w:cs="Times New Roman"/>
          <w:sz w:val="20"/>
        </w:rPr>
      </w:pPr>
    </w:p>
    <w:p w14:paraId="5F11639F" w14:textId="77777777" w:rsidR="000117AD" w:rsidRPr="00E11C45" w:rsidRDefault="00000000">
      <w:pPr>
        <w:spacing w:line="506" w:lineRule="auto"/>
        <w:ind w:left="3262" w:right="3419"/>
        <w:jc w:val="center"/>
        <w:rPr>
          <w:sz w:val="23"/>
        </w:rPr>
      </w:pPr>
      <w:r w:rsidRPr="00E11C45">
        <w:rPr>
          <w:sz w:val="23"/>
        </w:rPr>
        <w:t>ARCHITRONICS,</w:t>
      </w:r>
      <w:r w:rsidRPr="00E11C45">
        <w:rPr>
          <w:spacing w:val="5"/>
          <w:sz w:val="23"/>
        </w:rPr>
        <w:t xml:space="preserve"> </w:t>
      </w:r>
      <w:r w:rsidRPr="00E11C45">
        <w:rPr>
          <w:sz w:val="23"/>
        </w:rPr>
        <w:t xml:space="preserve">INC. </w:t>
      </w:r>
      <w:r w:rsidRPr="00E11C45">
        <w:rPr>
          <w:spacing w:val="-2"/>
          <w:sz w:val="23"/>
        </w:rPr>
        <w:t>APPELLEE.</w:t>
      </w:r>
    </w:p>
    <w:p w14:paraId="3927A61A" w14:textId="77777777" w:rsidR="000117AD" w:rsidRPr="00E11C45" w:rsidRDefault="000117AD">
      <w:pPr>
        <w:pStyle w:val="BodyText"/>
        <w:rPr>
          <w:rFonts w:ascii="Times New Roman" w:hAnsi="Times New Roman" w:cs="Times New Roman"/>
          <w:sz w:val="20"/>
        </w:rPr>
      </w:pPr>
    </w:p>
    <w:p w14:paraId="411BF708" w14:textId="77777777" w:rsidR="000117AD" w:rsidRPr="00E11C45" w:rsidRDefault="000117AD">
      <w:pPr>
        <w:pStyle w:val="BodyText"/>
        <w:rPr>
          <w:rFonts w:ascii="Times New Roman" w:hAnsi="Times New Roman" w:cs="Times New Roman"/>
          <w:sz w:val="20"/>
        </w:rPr>
      </w:pPr>
    </w:p>
    <w:p w14:paraId="68E0C199" w14:textId="77777777" w:rsidR="000117AD" w:rsidRPr="00E11C45" w:rsidRDefault="00000000">
      <w:pPr>
        <w:pStyle w:val="BodyText"/>
        <w:spacing w:before="106"/>
        <w:rPr>
          <w:rFonts w:ascii="Times New Roman" w:hAnsi="Times New Roman" w:cs="Times New Roman"/>
          <w:sz w:val="20"/>
        </w:rPr>
      </w:pPr>
      <w:r w:rsidRPr="00E11C45">
        <w:rPr>
          <w:rFonts w:ascii="Times New Roman" w:hAnsi="Times New Roman" w:cs="Times New Roman"/>
          <w:noProof/>
          <w:sz w:val="20"/>
        </w:rPr>
        <mc:AlternateContent>
          <mc:Choice Requires="wps">
            <w:drawing>
              <wp:anchor distT="0" distB="0" distL="0" distR="0" simplePos="0" relativeHeight="487587840" behindDoc="1" locked="0" layoutInCell="1" allowOverlap="1" wp14:anchorId="21093025" wp14:editId="7888B79B">
                <wp:simplePos x="0" y="0"/>
                <wp:positionH relativeFrom="page">
                  <wp:posOffset>842011</wp:posOffset>
                </wp:positionH>
                <wp:positionV relativeFrom="paragraph">
                  <wp:posOffset>229145</wp:posOffset>
                </wp:positionV>
                <wp:extent cx="599694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6940" cy="1270"/>
                        </a:xfrm>
                        <a:custGeom>
                          <a:avLst/>
                          <a:gdLst/>
                          <a:ahLst/>
                          <a:cxnLst/>
                          <a:rect l="l" t="t" r="r" b="b"/>
                          <a:pathLst>
                            <a:path w="5996940">
                              <a:moveTo>
                                <a:pt x="0" y="0"/>
                              </a:moveTo>
                              <a:lnTo>
                                <a:pt x="5996776" y="0"/>
                              </a:lnTo>
                            </a:path>
                          </a:pathLst>
                        </a:custGeom>
                        <a:ln w="160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73F9FD" id="Graphic 1" o:spid="_x0000_s1026" style="position:absolute;margin-left:66.3pt;margin-top:18.05pt;width:472.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99694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" path="m,l5996776,e" filled="f" strokeweight=".44489mm">
                <v:path arrowok="t"/>
                <w10:wrap type="topAndBottom" anchorx="page"/>
              </v:shape>
            </w:pict>
          </mc:Fallback>
        </mc:AlternateContent>
      </w:r>
    </w:p>
    <w:p w14:paraId="117006AB" w14:textId="77777777" w:rsidR="000117AD" w:rsidRPr="00E11C45" w:rsidRDefault="000117AD">
      <w:pPr>
        <w:pStyle w:val="BodyText"/>
        <w:spacing w:before="4"/>
        <w:rPr>
          <w:rFonts w:ascii="Times New Roman" w:hAnsi="Times New Roman" w:cs="Times New Roman"/>
          <w:sz w:val="23"/>
        </w:rPr>
      </w:pPr>
    </w:p>
    <w:p w14:paraId="11BC79CF" w14:textId="77777777" w:rsidR="000117AD" w:rsidRPr="00E11C45" w:rsidRDefault="00000000">
      <w:pPr>
        <w:ind w:left="1664" w:right="1792"/>
        <w:jc w:val="center"/>
        <w:rPr>
          <w:sz w:val="23"/>
        </w:rPr>
      </w:pPr>
      <w:r w:rsidRPr="00E11C45">
        <w:rPr>
          <w:sz w:val="23"/>
        </w:rPr>
        <w:t>ON APPEAL FROM THE UNITED STATES DISTRICT COURT FOR</w:t>
      </w:r>
      <w:r w:rsidRPr="00E11C45">
        <w:rPr>
          <w:spacing w:val="40"/>
          <w:sz w:val="23"/>
        </w:rPr>
        <w:t xml:space="preserve"> </w:t>
      </w:r>
      <w:r w:rsidRPr="00E11C45">
        <w:rPr>
          <w:sz w:val="23"/>
        </w:rPr>
        <w:t>THE</w:t>
      </w:r>
      <w:r w:rsidRPr="00E11C45">
        <w:rPr>
          <w:spacing w:val="40"/>
          <w:sz w:val="23"/>
        </w:rPr>
        <w:t xml:space="preserve"> </w:t>
      </w:r>
      <w:r w:rsidRPr="00E11C45">
        <w:rPr>
          <w:sz w:val="23"/>
        </w:rPr>
        <w:t>SOUTHERN</w:t>
      </w:r>
      <w:r w:rsidRPr="00E11C45">
        <w:rPr>
          <w:spacing w:val="40"/>
          <w:sz w:val="23"/>
        </w:rPr>
        <w:t xml:space="preserve"> </w:t>
      </w:r>
      <w:r w:rsidRPr="00E11C45">
        <w:rPr>
          <w:sz w:val="23"/>
        </w:rPr>
        <w:t>DISTRICT</w:t>
      </w:r>
      <w:r w:rsidRPr="00E11C45">
        <w:rPr>
          <w:spacing w:val="40"/>
          <w:sz w:val="23"/>
        </w:rPr>
        <w:t xml:space="preserve"> </w:t>
      </w:r>
      <w:r w:rsidRPr="00E11C45">
        <w:rPr>
          <w:sz w:val="23"/>
        </w:rPr>
        <w:t>OF</w:t>
      </w:r>
      <w:r w:rsidRPr="00E11C45">
        <w:rPr>
          <w:spacing w:val="40"/>
          <w:sz w:val="23"/>
        </w:rPr>
        <w:t xml:space="preserve"> </w:t>
      </w:r>
      <w:r w:rsidRPr="00E11C45">
        <w:rPr>
          <w:sz w:val="23"/>
        </w:rPr>
        <w:t>TEXAS</w:t>
      </w:r>
    </w:p>
    <w:p w14:paraId="0699A9B5" w14:textId="77777777" w:rsidR="000117AD" w:rsidRPr="00E11C45" w:rsidRDefault="00000000">
      <w:pPr>
        <w:pStyle w:val="BodyText"/>
        <w:spacing w:before="30"/>
        <w:rPr>
          <w:rFonts w:ascii="Times New Roman" w:hAnsi="Times New Roman" w:cs="Times New Roman"/>
          <w:sz w:val="20"/>
        </w:rPr>
      </w:pPr>
      <w:r w:rsidRPr="00E11C45">
        <w:rPr>
          <w:rFonts w:ascii="Times New Roman" w:hAnsi="Times New Roman" w:cs="Times New Roman"/>
          <w:noProof/>
          <w:sz w:val="20"/>
        </w:rPr>
        <mc:AlternateContent>
          <mc:Choice Requires="wps">
            <w:drawing>
              <wp:anchor distT="0" distB="0" distL="0" distR="0" simplePos="0" relativeHeight="487588352" behindDoc="1" locked="0" layoutInCell="1" allowOverlap="1" wp14:anchorId="2FF8B00B" wp14:editId="72865DB3">
                <wp:simplePos x="0" y="0"/>
                <wp:positionH relativeFrom="page">
                  <wp:posOffset>850900</wp:posOffset>
                </wp:positionH>
                <wp:positionV relativeFrom="paragraph">
                  <wp:posOffset>180947</wp:posOffset>
                </wp:positionV>
                <wp:extent cx="598805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8050" cy="1270"/>
                        </a:xfrm>
                        <a:custGeom>
                          <a:avLst/>
                          <a:gdLst/>
                          <a:ahLst/>
                          <a:cxnLst/>
                          <a:rect l="l" t="t" r="r" b="b"/>
                          <a:pathLst>
                            <a:path w="5988050">
                              <a:moveTo>
                                <a:pt x="0" y="0"/>
                              </a:moveTo>
                              <a:lnTo>
                                <a:pt x="5987621" y="0"/>
                              </a:lnTo>
                            </a:path>
                          </a:pathLst>
                        </a:custGeom>
                        <a:ln w="160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EF49B1" id="Graphic 2" o:spid="_x0000_s1026" style="position:absolute;margin-left:67pt;margin-top:14.25pt;width:471.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805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" path="m,l5987621,e" filled="f" strokeweight=".44489mm">
                <v:path arrowok="t"/>
                <w10:wrap type="topAndBottom" anchorx="page"/>
              </v:shape>
            </w:pict>
          </mc:Fallback>
        </mc:AlternateContent>
      </w:r>
    </w:p>
    <w:p w14:paraId="50103E60" w14:textId="77777777" w:rsidR="000117AD" w:rsidRPr="00E11C45" w:rsidRDefault="000117AD">
      <w:pPr>
        <w:pStyle w:val="BodyText"/>
        <w:rPr>
          <w:rFonts w:ascii="Times New Roman" w:hAnsi="Times New Roman" w:cs="Times New Roman"/>
          <w:sz w:val="23"/>
        </w:rPr>
      </w:pPr>
    </w:p>
    <w:p w14:paraId="1A35B681" w14:textId="77777777" w:rsidR="000117AD" w:rsidRPr="00E11C45" w:rsidRDefault="000117AD">
      <w:pPr>
        <w:pStyle w:val="BodyText"/>
        <w:rPr>
          <w:rFonts w:ascii="Times New Roman" w:hAnsi="Times New Roman" w:cs="Times New Roman"/>
          <w:sz w:val="23"/>
        </w:rPr>
      </w:pPr>
    </w:p>
    <w:p w14:paraId="19A72D3C" w14:textId="77777777" w:rsidR="000117AD" w:rsidRPr="00E11C45" w:rsidRDefault="000117AD">
      <w:pPr>
        <w:pStyle w:val="BodyText"/>
        <w:rPr>
          <w:rFonts w:ascii="Times New Roman" w:hAnsi="Times New Roman" w:cs="Times New Roman"/>
          <w:sz w:val="23"/>
        </w:rPr>
      </w:pPr>
    </w:p>
    <w:p w14:paraId="3D7F1D61" w14:textId="77777777" w:rsidR="000117AD" w:rsidRPr="00E11C45" w:rsidRDefault="000117AD">
      <w:pPr>
        <w:pStyle w:val="BodyText"/>
        <w:rPr>
          <w:rFonts w:ascii="Times New Roman" w:hAnsi="Times New Roman" w:cs="Times New Roman"/>
          <w:sz w:val="23"/>
        </w:rPr>
      </w:pPr>
    </w:p>
    <w:p w14:paraId="5096F01F" w14:textId="77777777" w:rsidR="000117AD" w:rsidRPr="00E11C45" w:rsidRDefault="000117AD">
      <w:pPr>
        <w:pStyle w:val="BodyText"/>
        <w:rPr>
          <w:rFonts w:ascii="Times New Roman" w:hAnsi="Times New Roman" w:cs="Times New Roman"/>
          <w:sz w:val="23"/>
        </w:rPr>
      </w:pPr>
    </w:p>
    <w:p w14:paraId="4986C5F4" w14:textId="77777777" w:rsidR="000117AD" w:rsidRPr="00E11C45" w:rsidRDefault="000117AD">
      <w:pPr>
        <w:pStyle w:val="BodyText"/>
        <w:rPr>
          <w:rFonts w:ascii="Times New Roman" w:hAnsi="Times New Roman" w:cs="Times New Roman"/>
          <w:sz w:val="23"/>
        </w:rPr>
      </w:pPr>
    </w:p>
    <w:p w14:paraId="526502AC" w14:textId="77777777" w:rsidR="000117AD" w:rsidRPr="00E11C45" w:rsidRDefault="000117AD">
      <w:pPr>
        <w:pStyle w:val="BodyText"/>
        <w:rPr>
          <w:rFonts w:ascii="Times New Roman" w:hAnsi="Times New Roman" w:cs="Times New Roman"/>
          <w:sz w:val="23"/>
        </w:rPr>
      </w:pPr>
    </w:p>
    <w:p w14:paraId="082462F2" w14:textId="77777777" w:rsidR="000117AD" w:rsidRPr="00E11C45" w:rsidRDefault="000117AD">
      <w:pPr>
        <w:pStyle w:val="BodyText"/>
        <w:spacing w:before="96"/>
        <w:rPr>
          <w:rFonts w:ascii="Times New Roman" w:hAnsi="Times New Roman" w:cs="Times New Roman"/>
          <w:sz w:val="23"/>
        </w:rPr>
      </w:pPr>
    </w:p>
    <w:p w14:paraId="76F484F3" w14:textId="77777777" w:rsidR="000117AD" w:rsidRPr="00E11C45" w:rsidRDefault="00000000">
      <w:pPr>
        <w:ind w:left="6072"/>
        <w:rPr>
          <w:b/>
          <w:sz w:val="23"/>
        </w:rPr>
      </w:pPr>
      <w:r w:rsidRPr="00E11C45">
        <w:rPr>
          <w:b/>
          <w:w w:val="105"/>
          <w:sz w:val="23"/>
        </w:rPr>
        <w:t>Rebecca</w:t>
      </w:r>
      <w:r w:rsidRPr="00E11C45">
        <w:rPr>
          <w:b/>
          <w:spacing w:val="-13"/>
          <w:w w:val="105"/>
          <w:sz w:val="23"/>
        </w:rPr>
        <w:t xml:space="preserve"> </w:t>
      </w:r>
      <w:r w:rsidRPr="00E11C45">
        <w:rPr>
          <w:b/>
          <w:spacing w:val="-2"/>
          <w:w w:val="105"/>
          <w:sz w:val="23"/>
        </w:rPr>
        <w:t>Conrad</w:t>
      </w:r>
    </w:p>
    <w:p w14:paraId="1D9D5078" w14:textId="77777777" w:rsidR="000117AD" w:rsidRPr="00E11C45" w:rsidRDefault="00000000">
      <w:pPr>
        <w:spacing w:before="11" w:line="237" w:lineRule="auto"/>
        <w:ind w:left="6075" w:right="953" w:hanging="6"/>
        <w:rPr>
          <w:sz w:val="23"/>
        </w:rPr>
      </w:pPr>
      <w:r w:rsidRPr="00E11C45">
        <w:rPr>
          <w:sz w:val="23"/>
        </w:rPr>
        <w:t>Suite 1065, Commerce Place Corpus Christi, Texas Telephone:</w:t>
      </w:r>
      <w:r w:rsidRPr="00E11C45">
        <w:rPr>
          <w:spacing w:val="40"/>
          <w:sz w:val="23"/>
        </w:rPr>
        <w:t xml:space="preserve"> </w:t>
      </w:r>
      <w:r w:rsidRPr="00E11C45">
        <w:rPr>
          <w:sz w:val="23"/>
        </w:rPr>
        <w:t xml:space="preserve">316-555-2134 </w:t>
      </w:r>
      <w:hyperlink r:id="rId9">
        <w:r w:rsidR="000117AD" w:rsidRPr="00E11C45">
          <w:rPr>
            <w:spacing w:val="-2"/>
            <w:sz w:val="23"/>
          </w:rPr>
          <w:t>Rebecca-conrad@cclawtex.com</w:t>
        </w:r>
      </w:hyperlink>
    </w:p>
    <w:p w14:paraId="632415A3" w14:textId="77777777" w:rsidR="000117AD" w:rsidRDefault="000117AD">
      <w:pPr>
        <w:spacing w:line="237" w:lineRule="auto"/>
        <w:rPr>
          <w:sz w:val="23"/>
        </w:rPr>
      </w:pPr>
    </w:p>
    <w:p w14:paraId="274C6380" w14:textId="77777777" w:rsidR="00806AB2" w:rsidRDefault="00806AB2">
      <w:pPr>
        <w:spacing w:line="237" w:lineRule="auto"/>
        <w:rPr>
          <w:sz w:val="23"/>
        </w:rPr>
      </w:pPr>
    </w:p>
    <w:p w14:paraId="5009ABCD" w14:textId="77777777" w:rsidR="00806AB2" w:rsidRDefault="00806AB2">
      <w:pPr>
        <w:spacing w:line="237" w:lineRule="auto"/>
        <w:rPr>
          <w:sz w:val="23"/>
        </w:rPr>
      </w:pPr>
    </w:p>
    <w:p w14:paraId="0049E8EE" w14:textId="77777777" w:rsidR="00806AB2" w:rsidRDefault="00806AB2">
      <w:pPr>
        <w:spacing w:line="237" w:lineRule="auto"/>
        <w:rPr>
          <w:sz w:val="23"/>
        </w:rPr>
      </w:pPr>
    </w:p>
    <w:p w14:paraId="0B8F3D7C" w14:textId="77777777" w:rsidR="00806AB2" w:rsidRDefault="00806AB2">
      <w:pPr>
        <w:spacing w:line="237" w:lineRule="auto"/>
        <w:rPr>
          <w:sz w:val="23"/>
        </w:rPr>
      </w:pPr>
    </w:p>
    <w:p w14:paraId="72D01AC7" w14:textId="77777777" w:rsidR="00806AB2" w:rsidRDefault="00806AB2">
      <w:pPr>
        <w:spacing w:line="237" w:lineRule="auto"/>
        <w:rPr>
          <w:sz w:val="23"/>
        </w:rPr>
      </w:pPr>
    </w:p>
    <w:p w14:paraId="0103A9D2" w14:textId="77777777" w:rsidR="00806AB2" w:rsidRDefault="00806AB2">
      <w:pPr>
        <w:spacing w:line="237" w:lineRule="auto"/>
        <w:rPr>
          <w:sz w:val="23"/>
        </w:rPr>
      </w:pPr>
    </w:p>
    <w:p w14:paraId="2161882D" w14:textId="77777777" w:rsidR="00806AB2" w:rsidRPr="00806AB2" w:rsidRDefault="00806AB2" w:rsidP="00806AB2">
      <w:pPr>
        <w:rPr>
          <w:sz w:val="23"/>
        </w:rPr>
      </w:pPr>
    </w:p>
    <w:p w14:paraId="076C424F" w14:textId="77777777" w:rsidR="00806AB2" w:rsidRPr="00806AB2" w:rsidRDefault="00806AB2" w:rsidP="00806AB2">
      <w:pPr>
        <w:rPr>
          <w:sz w:val="23"/>
        </w:rPr>
      </w:pPr>
    </w:p>
    <w:p w14:paraId="16D75CA7" w14:textId="77777777" w:rsidR="00806AB2" w:rsidRPr="00806AB2" w:rsidRDefault="00806AB2" w:rsidP="00806AB2">
      <w:pPr>
        <w:rPr>
          <w:sz w:val="23"/>
        </w:rPr>
      </w:pPr>
    </w:p>
    <w:p w14:paraId="229FD40A" w14:textId="77777777" w:rsidR="00806AB2" w:rsidRPr="00806AB2" w:rsidRDefault="00806AB2" w:rsidP="00806AB2">
      <w:pPr>
        <w:rPr>
          <w:sz w:val="23"/>
        </w:rPr>
      </w:pPr>
    </w:p>
    <w:p w14:paraId="681A4454" w14:textId="77777777" w:rsidR="00806AB2" w:rsidRPr="00806AB2" w:rsidRDefault="00806AB2" w:rsidP="00806AB2">
      <w:pPr>
        <w:rPr>
          <w:sz w:val="23"/>
        </w:rPr>
      </w:pPr>
    </w:p>
    <w:p w14:paraId="1C5A68B7" w14:textId="77777777" w:rsidR="00806AB2" w:rsidRPr="00806AB2" w:rsidRDefault="00806AB2" w:rsidP="00806AB2">
      <w:pPr>
        <w:rPr>
          <w:sz w:val="23"/>
        </w:rPr>
      </w:pPr>
    </w:p>
    <w:p w14:paraId="3724DE8A" w14:textId="695236A8" w:rsidR="00806AB2" w:rsidRPr="00806AB2" w:rsidRDefault="00806AB2" w:rsidP="00806AB2">
      <w:pPr>
        <w:tabs>
          <w:tab w:val="left" w:pos="4140"/>
        </w:tabs>
        <w:rPr>
          <w:sz w:val="23"/>
        </w:rPr>
        <w:sectPr w:rsidR="00806AB2" w:rsidRPr="00806AB2">
          <w:pgSz w:w="12240" w:h="15840"/>
          <w:pgMar w:top="1280" w:right="1080" w:bottom="280" w:left="1080" w:header="720" w:footer="720" w:gutter="0"/>
          <w:cols w:space="720"/>
        </w:sectPr>
      </w:pPr>
    </w:p>
    <w:p w14:paraId="5C349C1D" w14:textId="77777777" w:rsidR="000117AD" w:rsidRPr="00021407" w:rsidRDefault="00000000" w:rsidP="00021407">
      <w:pPr>
        <w:pStyle w:val="Heading1"/>
        <w:ind w:left="0"/>
        <w:rPr>
          <w:rFonts w:ascii="Times New Roman" w:hAnsi="Times New Roman" w:cs="Times New Roman"/>
          <w:sz w:val="28"/>
          <w:szCs w:val="28"/>
        </w:rPr>
      </w:pPr>
      <w:r w:rsidRPr="00021407">
        <w:rPr>
          <w:rFonts w:ascii="Times New Roman" w:hAnsi="Times New Roman" w:cs="Times New Roman"/>
          <w:sz w:val="28"/>
          <w:szCs w:val="28"/>
        </w:rPr>
        <w:lastRenderedPageBreak/>
        <w:t>TABLE</w:t>
      </w:r>
      <w:r w:rsidRPr="00021407">
        <w:rPr>
          <w:rFonts w:ascii="Times New Roman" w:hAnsi="Times New Roman" w:cs="Times New Roman"/>
          <w:spacing w:val="-4"/>
          <w:sz w:val="28"/>
          <w:szCs w:val="28"/>
        </w:rPr>
        <w:t xml:space="preserve"> </w:t>
      </w:r>
      <w:r w:rsidRPr="00021407">
        <w:rPr>
          <w:rFonts w:ascii="Times New Roman" w:hAnsi="Times New Roman" w:cs="Times New Roman"/>
          <w:sz w:val="28"/>
          <w:szCs w:val="28"/>
        </w:rPr>
        <w:t>OF</w:t>
      </w:r>
      <w:r w:rsidRPr="00021407">
        <w:rPr>
          <w:rFonts w:ascii="Times New Roman" w:hAnsi="Times New Roman" w:cs="Times New Roman"/>
          <w:spacing w:val="-3"/>
          <w:sz w:val="28"/>
          <w:szCs w:val="28"/>
        </w:rPr>
        <w:t xml:space="preserve"> </w:t>
      </w:r>
      <w:r w:rsidRPr="00021407">
        <w:rPr>
          <w:rFonts w:ascii="Times New Roman" w:hAnsi="Times New Roman" w:cs="Times New Roman"/>
          <w:spacing w:val="-2"/>
          <w:sz w:val="28"/>
          <w:szCs w:val="28"/>
        </w:rPr>
        <w:t>CONTENTS</w:t>
      </w:r>
    </w:p>
    <w:p w14:paraId="6955E15E" w14:textId="77777777" w:rsidR="000117AD" w:rsidRPr="00E11C45" w:rsidRDefault="000117AD" w:rsidP="00021407">
      <w:pPr>
        <w:pStyle w:val="BodyText"/>
        <w:spacing w:before="281"/>
        <w:rPr>
          <w:rFonts w:ascii="Times New Roman" w:hAnsi="Times New Roman" w:cs="Times New Roman"/>
          <w:b/>
          <w:sz w:val="34"/>
        </w:rPr>
      </w:pPr>
    </w:p>
    <w:p w14:paraId="1EB3D560" w14:textId="175CE544" w:rsidR="000117AD" w:rsidRPr="00E11C45" w:rsidRDefault="00806AB2" w:rsidP="00021407">
      <w:pPr>
        <w:pStyle w:val="BodyText"/>
        <w:rPr>
          <w:rFonts w:ascii="Times New Roman" w:hAnsi="Times New Roman" w:cs="Times New Roman"/>
        </w:rPr>
      </w:pPr>
      <w:r>
        <w:rPr>
          <w:rFonts w:ascii="Times New Roman" w:hAnsi="Times New Roman" w:cs="Times New Roman"/>
        </w:rPr>
        <w:t>COVER PAGE</w:t>
      </w:r>
      <w:r w:rsidRPr="00E11C45">
        <w:rPr>
          <w:rFonts w:ascii="Times New Roman" w:hAnsi="Times New Roman" w:cs="Times New Roman"/>
        </w:rPr>
        <w:t>…</w:t>
      </w:r>
      <w:r>
        <w:rPr>
          <w:rFonts w:ascii="Times New Roman" w:hAnsi="Times New Roman" w:cs="Times New Roman"/>
          <w:spacing w:val="-3"/>
        </w:rPr>
        <w:t>……………………………………………………………………………………….</w:t>
      </w:r>
      <w:r w:rsidR="00021407">
        <w:rPr>
          <w:rFonts w:ascii="Times New Roman" w:hAnsi="Times New Roman" w:cs="Times New Roman"/>
          <w:spacing w:val="-3"/>
        </w:rPr>
        <w:t>2</w:t>
      </w:r>
    </w:p>
    <w:p w14:paraId="0D0B9BC0" w14:textId="2481A63E" w:rsidR="00806AB2" w:rsidRDefault="00806AB2" w:rsidP="00021407">
      <w:pPr>
        <w:pStyle w:val="BodyText"/>
        <w:spacing w:before="251"/>
        <w:rPr>
          <w:rFonts w:ascii="Times New Roman" w:hAnsi="Times New Roman" w:cs="Times New Roman"/>
        </w:rPr>
      </w:pPr>
      <w:r>
        <w:rPr>
          <w:rFonts w:ascii="Times New Roman" w:hAnsi="Times New Roman" w:cs="Times New Roman"/>
        </w:rPr>
        <w:t>TABLE OF CONTENTS</w:t>
      </w:r>
      <w:r w:rsidRPr="00E11C45">
        <w:rPr>
          <w:rFonts w:ascii="Times New Roman" w:hAnsi="Times New Roman" w:cs="Times New Roman"/>
        </w:rPr>
        <w:t>…</w:t>
      </w:r>
      <w:r>
        <w:rPr>
          <w:rFonts w:ascii="Times New Roman" w:hAnsi="Times New Roman" w:cs="Times New Roman"/>
          <w:spacing w:val="-3"/>
        </w:rPr>
        <w:t>…………………………………</w:t>
      </w:r>
      <w:r w:rsidRPr="00E11C45">
        <w:rPr>
          <w:rFonts w:ascii="Times New Roman" w:hAnsi="Times New Roman" w:cs="Times New Roman"/>
        </w:rPr>
        <w:t>…</w:t>
      </w:r>
      <w:r>
        <w:rPr>
          <w:rFonts w:ascii="Times New Roman" w:hAnsi="Times New Roman" w:cs="Times New Roman"/>
          <w:spacing w:val="-3"/>
        </w:rPr>
        <w:t xml:space="preserve">……………………………………… </w:t>
      </w:r>
      <w:r w:rsidR="00021407">
        <w:rPr>
          <w:rFonts w:ascii="Times New Roman" w:hAnsi="Times New Roman" w:cs="Times New Roman"/>
          <w:spacing w:val="-3"/>
        </w:rPr>
        <w:t>3</w:t>
      </w:r>
    </w:p>
    <w:p w14:paraId="5D428CF8" w14:textId="720EA28C" w:rsidR="001E2F2B" w:rsidRDefault="001E2F2B" w:rsidP="00021407">
      <w:pPr>
        <w:pStyle w:val="BodyText"/>
        <w:spacing w:before="251"/>
        <w:rPr>
          <w:rFonts w:ascii="Times New Roman" w:hAnsi="Times New Roman" w:cs="Times New Roman"/>
        </w:rPr>
      </w:pPr>
      <w:r>
        <w:rPr>
          <w:rFonts w:ascii="Times New Roman" w:hAnsi="Times New Roman" w:cs="Times New Roman"/>
        </w:rPr>
        <w:t>STATEMENT OF ISSUES PRESENTED FOR REVIEW</w:t>
      </w:r>
      <w:r w:rsidRPr="00E11C45">
        <w:rPr>
          <w:rFonts w:ascii="Times New Roman" w:hAnsi="Times New Roman" w:cs="Times New Roman"/>
        </w:rPr>
        <w:t>…</w:t>
      </w:r>
      <w:r>
        <w:rPr>
          <w:rFonts w:ascii="Times New Roman" w:hAnsi="Times New Roman" w:cs="Times New Roman"/>
          <w:spacing w:val="-3"/>
        </w:rPr>
        <w:t>……………………………………..</w:t>
      </w:r>
      <w:r w:rsidR="00021407">
        <w:rPr>
          <w:rFonts w:ascii="Times New Roman" w:hAnsi="Times New Roman" w:cs="Times New Roman"/>
          <w:spacing w:val="-3"/>
        </w:rPr>
        <w:t>.</w:t>
      </w:r>
      <w:r>
        <w:rPr>
          <w:rFonts w:ascii="Times New Roman" w:hAnsi="Times New Roman" w:cs="Times New Roman"/>
          <w:spacing w:val="-3"/>
        </w:rPr>
        <w:t xml:space="preserve">… </w:t>
      </w:r>
      <w:r w:rsidR="00021407">
        <w:rPr>
          <w:rFonts w:ascii="Times New Roman" w:hAnsi="Times New Roman" w:cs="Times New Roman"/>
          <w:spacing w:val="-3"/>
        </w:rPr>
        <w:t>4</w:t>
      </w:r>
    </w:p>
    <w:p w14:paraId="76DC84FC" w14:textId="3950A91D" w:rsidR="00806AB2" w:rsidRDefault="00806AB2" w:rsidP="00021407">
      <w:pPr>
        <w:pStyle w:val="BodyText"/>
        <w:spacing w:before="251"/>
        <w:rPr>
          <w:rFonts w:ascii="Times New Roman" w:hAnsi="Times New Roman" w:cs="Times New Roman"/>
        </w:rPr>
      </w:pPr>
      <w:r>
        <w:rPr>
          <w:rFonts w:ascii="Times New Roman" w:hAnsi="Times New Roman" w:cs="Times New Roman"/>
        </w:rPr>
        <w:t>TABLE OF AUTHORITES</w:t>
      </w:r>
      <w:r w:rsidRPr="00E11C45">
        <w:rPr>
          <w:rFonts w:ascii="Times New Roman" w:hAnsi="Times New Roman" w:cs="Times New Roman"/>
        </w:rPr>
        <w:t>…</w:t>
      </w:r>
      <w:r>
        <w:rPr>
          <w:rFonts w:ascii="Times New Roman" w:hAnsi="Times New Roman" w:cs="Times New Roman"/>
          <w:spacing w:val="-3"/>
        </w:rPr>
        <w:t>…………………………………</w:t>
      </w:r>
      <w:r w:rsidRPr="00E11C45">
        <w:rPr>
          <w:rFonts w:ascii="Times New Roman" w:hAnsi="Times New Roman" w:cs="Times New Roman"/>
        </w:rPr>
        <w:t>…</w:t>
      </w:r>
      <w:r>
        <w:rPr>
          <w:rFonts w:ascii="Times New Roman" w:hAnsi="Times New Roman" w:cs="Times New Roman"/>
          <w:spacing w:val="-3"/>
        </w:rPr>
        <w:t>………………………………</w:t>
      </w:r>
      <w:r w:rsidR="00021407">
        <w:rPr>
          <w:rFonts w:ascii="Times New Roman" w:hAnsi="Times New Roman" w:cs="Times New Roman"/>
          <w:spacing w:val="-3"/>
        </w:rPr>
        <w:t>.</w:t>
      </w:r>
      <w:r>
        <w:rPr>
          <w:rFonts w:ascii="Times New Roman" w:hAnsi="Times New Roman" w:cs="Times New Roman"/>
          <w:spacing w:val="-3"/>
        </w:rPr>
        <w:t xml:space="preserve">…... </w:t>
      </w:r>
      <w:r w:rsidR="00021407">
        <w:rPr>
          <w:rFonts w:ascii="Times New Roman" w:hAnsi="Times New Roman" w:cs="Times New Roman"/>
          <w:spacing w:val="-3"/>
        </w:rPr>
        <w:t>5</w:t>
      </w:r>
    </w:p>
    <w:p w14:paraId="0528C509" w14:textId="216A34DA" w:rsidR="00806AB2" w:rsidRDefault="00806AB2" w:rsidP="00021407">
      <w:pPr>
        <w:pStyle w:val="BodyText"/>
        <w:spacing w:before="251"/>
        <w:rPr>
          <w:rFonts w:ascii="Times New Roman" w:hAnsi="Times New Roman" w:cs="Times New Roman"/>
        </w:rPr>
      </w:pPr>
      <w:r>
        <w:rPr>
          <w:rFonts w:ascii="Times New Roman" w:hAnsi="Times New Roman" w:cs="Times New Roman"/>
        </w:rPr>
        <w:t xml:space="preserve">STATEMENT OF FACTS </w:t>
      </w:r>
      <w:r w:rsidRPr="00E11C45">
        <w:rPr>
          <w:rFonts w:ascii="Times New Roman" w:hAnsi="Times New Roman" w:cs="Times New Roman"/>
        </w:rPr>
        <w:t>…</w:t>
      </w:r>
      <w:r>
        <w:rPr>
          <w:rFonts w:ascii="Times New Roman" w:hAnsi="Times New Roman" w:cs="Times New Roman"/>
          <w:spacing w:val="-3"/>
        </w:rPr>
        <w:t>…………………………………</w:t>
      </w:r>
      <w:r w:rsidRPr="00E11C45">
        <w:rPr>
          <w:rFonts w:ascii="Times New Roman" w:hAnsi="Times New Roman" w:cs="Times New Roman"/>
        </w:rPr>
        <w:t>…</w:t>
      </w:r>
      <w:r>
        <w:rPr>
          <w:rFonts w:ascii="Times New Roman" w:hAnsi="Times New Roman" w:cs="Times New Roman"/>
          <w:spacing w:val="-3"/>
        </w:rPr>
        <w:t xml:space="preserve">……………………………………. </w:t>
      </w:r>
      <w:r w:rsidR="00021407">
        <w:rPr>
          <w:rFonts w:ascii="Times New Roman" w:hAnsi="Times New Roman" w:cs="Times New Roman"/>
          <w:spacing w:val="-3"/>
        </w:rPr>
        <w:t>6</w:t>
      </w:r>
    </w:p>
    <w:p w14:paraId="34DA1673" w14:textId="02A3C583" w:rsidR="00806AB2" w:rsidRDefault="00806AB2" w:rsidP="00021407">
      <w:pPr>
        <w:pStyle w:val="BodyText"/>
        <w:spacing w:before="251"/>
        <w:rPr>
          <w:rFonts w:ascii="Times New Roman" w:hAnsi="Times New Roman" w:cs="Times New Roman"/>
        </w:rPr>
      </w:pPr>
      <w:r>
        <w:rPr>
          <w:rFonts w:ascii="Times New Roman" w:hAnsi="Times New Roman" w:cs="Times New Roman"/>
        </w:rPr>
        <w:t>SUMMARY OF ARGUMENT</w:t>
      </w:r>
      <w:r w:rsidRPr="00E11C45">
        <w:rPr>
          <w:rFonts w:ascii="Times New Roman" w:hAnsi="Times New Roman" w:cs="Times New Roman"/>
        </w:rPr>
        <w:t>…</w:t>
      </w:r>
      <w:r>
        <w:rPr>
          <w:rFonts w:ascii="Times New Roman" w:hAnsi="Times New Roman" w:cs="Times New Roman"/>
          <w:spacing w:val="-3"/>
        </w:rPr>
        <w:t>…………………………………</w:t>
      </w:r>
      <w:r w:rsidRPr="00E11C45">
        <w:rPr>
          <w:rFonts w:ascii="Times New Roman" w:hAnsi="Times New Roman" w:cs="Times New Roman"/>
        </w:rPr>
        <w:t>…</w:t>
      </w:r>
      <w:r>
        <w:rPr>
          <w:rFonts w:ascii="Times New Roman" w:hAnsi="Times New Roman" w:cs="Times New Roman"/>
          <w:spacing w:val="-3"/>
        </w:rPr>
        <w:t>………………………</w:t>
      </w:r>
      <w:proofErr w:type="gramStart"/>
      <w:r>
        <w:rPr>
          <w:rFonts w:ascii="Times New Roman" w:hAnsi="Times New Roman" w:cs="Times New Roman"/>
          <w:spacing w:val="-3"/>
        </w:rPr>
        <w:t>…..</w:t>
      </w:r>
      <w:proofErr w:type="gramEnd"/>
      <w:r>
        <w:rPr>
          <w:rFonts w:ascii="Times New Roman" w:hAnsi="Times New Roman" w:cs="Times New Roman"/>
          <w:spacing w:val="-3"/>
        </w:rPr>
        <w:t xml:space="preserve">……. </w:t>
      </w:r>
      <w:r w:rsidR="00021407">
        <w:rPr>
          <w:rFonts w:ascii="Times New Roman" w:hAnsi="Times New Roman" w:cs="Times New Roman"/>
          <w:spacing w:val="-3"/>
        </w:rPr>
        <w:t>8</w:t>
      </w:r>
    </w:p>
    <w:p w14:paraId="09926AC7" w14:textId="5FDCECA8" w:rsidR="00021407" w:rsidRPr="00021407" w:rsidRDefault="00806AB2" w:rsidP="00021407">
      <w:pPr>
        <w:pStyle w:val="BodyText"/>
        <w:spacing w:before="251"/>
        <w:rPr>
          <w:rFonts w:ascii="Times New Roman" w:hAnsi="Times New Roman" w:cs="Times New Roman"/>
        </w:rPr>
      </w:pPr>
      <w:r>
        <w:rPr>
          <w:rFonts w:ascii="Times New Roman" w:hAnsi="Times New Roman" w:cs="Times New Roman"/>
        </w:rPr>
        <w:t>ARGUMENT</w:t>
      </w:r>
      <w:r w:rsidRPr="00E11C45">
        <w:rPr>
          <w:rFonts w:ascii="Times New Roman" w:hAnsi="Times New Roman" w:cs="Times New Roman"/>
        </w:rPr>
        <w:t>…</w:t>
      </w:r>
      <w:r>
        <w:rPr>
          <w:rFonts w:ascii="Times New Roman" w:hAnsi="Times New Roman" w:cs="Times New Roman"/>
          <w:spacing w:val="-3"/>
        </w:rPr>
        <w:t>…………………………………</w:t>
      </w:r>
      <w:r w:rsidRPr="00E11C45">
        <w:rPr>
          <w:rFonts w:ascii="Times New Roman" w:hAnsi="Times New Roman" w:cs="Times New Roman"/>
        </w:rPr>
        <w:t>…</w:t>
      </w:r>
      <w:r>
        <w:rPr>
          <w:rFonts w:ascii="Times New Roman" w:hAnsi="Times New Roman" w:cs="Times New Roman"/>
          <w:spacing w:val="-3"/>
        </w:rPr>
        <w:t xml:space="preserve">…………………………………………...…….... </w:t>
      </w:r>
      <w:r w:rsidR="00021407">
        <w:rPr>
          <w:rFonts w:ascii="Times New Roman" w:hAnsi="Times New Roman" w:cs="Times New Roman"/>
          <w:spacing w:val="-3"/>
        </w:rPr>
        <w:t>9</w:t>
      </w:r>
    </w:p>
    <w:p w14:paraId="1696A8D0" w14:textId="5E0A9CC2" w:rsidR="00021407" w:rsidRDefault="00021407" w:rsidP="00021407">
      <w:pPr>
        <w:pStyle w:val="BodyText"/>
        <w:numPr>
          <w:ilvl w:val="0"/>
          <w:numId w:val="6"/>
        </w:numPr>
        <w:spacing w:before="251"/>
        <w:rPr>
          <w:rFonts w:ascii="Times New Roman" w:hAnsi="Times New Roman" w:cs="Times New Roman"/>
        </w:rPr>
      </w:pPr>
      <w:r>
        <w:rPr>
          <w:rFonts w:ascii="Times New Roman" w:hAnsi="Times New Roman" w:cs="Times New Roman"/>
        </w:rPr>
        <w:t>PRETEXT………………………………………………………………………………. 10</w:t>
      </w:r>
    </w:p>
    <w:p w14:paraId="37D7FF32" w14:textId="1BAC70AE" w:rsidR="00021407" w:rsidRDefault="00021407" w:rsidP="00021407">
      <w:pPr>
        <w:pStyle w:val="BodyText"/>
        <w:numPr>
          <w:ilvl w:val="0"/>
          <w:numId w:val="6"/>
        </w:numPr>
        <w:spacing w:before="251"/>
        <w:rPr>
          <w:rFonts w:ascii="Times New Roman" w:hAnsi="Times New Roman" w:cs="Times New Roman"/>
        </w:rPr>
      </w:pPr>
      <w:r>
        <w:rPr>
          <w:rFonts w:ascii="Times New Roman" w:hAnsi="Times New Roman" w:cs="Times New Roman"/>
        </w:rPr>
        <w:t>BUT-FOR CAUSATION…………………………………………………………</w:t>
      </w:r>
      <w:proofErr w:type="gramStart"/>
      <w:r>
        <w:rPr>
          <w:rFonts w:ascii="Times New Roman" w:hAnsi="Times New Roman" w:cs="Times New Roman"/>
        </w:rPr>
        <w:t>…..</w:t>
      </w:r>
      <w:proofErr w:type="gramEnd"/>
      <w:r>
        <w:rPr>
          <w:rFonts w:ascii="Times New Roman" w:hAnsi="Times New Roman" w:cs="Times New Roman"/>
        </w:rPr>
        <w:t>… 13</w:t>
      </w:r>
    </w:p>
    <w:p w14:paraId="2104BE08" w14:textId="4628B9BB" w:rsidR="00806AB2" w:rsidRDefault="00806AB2" w:rsidP="00021407">
      <w:pPr>
        <w:pStyle w:val="BodyText"/>
        <w:spacing w:before="251"/>
        <w:rPr>
          <w:rFonts w:ascii="Times New Roman" w:hAnsi="Times New Roman" w:cs="Times New Roman"/>
        </w:rPr>
      </w:pPr>
      <w:r>
        <w:rPr>
          <w:rFonts w:ascii="Times New Roman" w:hAnsi="Times New Roman" w:cs="Times New Roman"/>
        </w:rPr>
        <w:t>CONCLUSION</w:t>
      </w:r>
      <w:r w:rsidRPr="00E11C45">
        <w:rPr>
          <w:rFonts w:ascii="Times New Roman" w:hAnsi="Times New Roman" w:cs="Times New Roman"/>
        </w:rPr>
        <w:t>…</w:t>
      </w:r>
      <w:r>
        <w:rPr>
          <w:rFonts w:ascii="Times New Roman" w:hAnsi="Times New Roman" w:cs="Times New Roman"/>
          <w:spacing w:val="-3"/>
        </w:rPr>
        <w:t>…………………………………</w:t>
      </w:r>
      <w:r w:rsidRPr="00E11C45">
        <w:rPr>
          <w:rFonts w:ascii="Times New Roman" w:hAnsi="Times New Roman" w:cs="Times New Roman"/>
        </w:rPr>
        <w:t>…</w:t>
      </w:r>
      <w:r>
        <w:rPr>
          <w:rFonts w:ascii="Times New Roman" w:hAnsi="Times New Roman" w:cs="Times New Roman"/>
          <w:spacing w:val="-3"/>
        </w:rPr>
        <w:t>…………………………………</w:t>
      </w:r>
      <w:r w:rsidR="007E143C">
        <w:rPr>
          <w:rFonts w:ascii="Times New Roman" w:hAnsi="Times New Roman" w:cs="Times New Roman"/>
          <w:spacing w:val="-3"/>
        </w:rPr>
        <w:t>………………17</w:t>
      </w:r>
    </w:p>
    <w:p w14:paraId="4322B5ED" w14:textId="77777777" w:rsidR="000117AD" w:rsidRDefault="000117AD" w:rsidP="00B72572">
      <w:pPr>
        <w:pStyle w:val="BodyText"/>
        <w:spacing w:line="249" w:lineRule="exact"/>
        <w:ind w:left="360"/>
        <w:rPr>
          <w:rFonts w:ascii="Times New Roman" w:hAnsi="Times New Roman" w:cs="Times New Roman"/>
        </w:rPr>
      </w:pPr>
    </w:p>
    <w:p w14:paraId="0C4ED965" w14:textId="77777777" w:rsidR="00806AB2" w:rsidRDefault="00806AB2" w:rsidP="00B72572">
      <w:pPr>
        <w:pStyle w:val="BodyText"/>
        <w:spacing w:line="249" w:lineRule="exact"/>
        <w:ind w:left="360"/>
        <w:rPr>
          <w:rFonts w:ascii="Times New Roman" w:hAnsi="Times New Roman" w:cs="Times New Roman"/>
        </w:rPr>
      </w:pPr>
    </w:p>
    <w:p w14:paraId="5DF757F2" w14:textId="77777777" w:rsidR="00806AB2" w:rsidRDefault="00806AB2" w:rsidP="00B72572">
      <w:pPr>
        <w:pStyle w:val="BodyText"/>
        <w:spacing w:line="249" w:lineRule="exact"/>
        <w:ind w:left="360"/>
        <w:rPr>
          <w:rFonts w:ascii="Times New Roman" w:hAnsi="Times New Roman" w:cs="Times New Roman"/>
        </w:rPr>
      </w:pPr>
    </w:p>
    <w:p w14:paraId="14023BAA" w14:textId="77777777" w:rsidR="00806AB2" w:rsidRDefault="00806AB2" w:rsidP="00B72572">
      <w:pPr>
        <w:pStyle w:val="BodyText"/>
        <w:spacing w:line="249" w:lineRule="exact"/>
        <w:ind w:left="360"/>
        <w:rPr>
          <w:rFonts w:ascii="Times New Roman" w:hAnsi="Times New Roman" w:cs="Times New Roman"/>
        </w:rPr>
      </w:pPr>
    </w:p>
    <w:p w14:paraId="049AE855" w14:textId="77777777" w:rsidR="00806AB2" w:rsidRDefault="00806AB2" w:rsidP="00B72572">
      <w:pPr>
        <w:pStyle w:val="BodyText"/>
        <w:spacing w:line="249" w:lineRule="exact"/>
        <w:ind w:left="360"/>
        <w:rPr>
          <w:rFonts w:ascii="Times New Roman" w:hAnsi="Times New Roman" w:cs="Times New Roman"/>
        </w:rPr>
      </w:pPr>
    </w:p>
    <w:p w14:paraId="4D6486C8" w14:textId="77777777" w:rsidR="00806AB2" w:rsidRDefault="00806AB2" w:rsidP="00B72572">
      <w:pPr>
        <w:pStyle w:val="BodyText"/>
        <w:spacing w:line="249" w:lineRule="exact"/>
        <w:ind w:left="360"/>
        <w:rPr>
          <w:rFonts w:ascii="Times New Roman" w:hAnsi="Times New Roman" w:cs="Times New Roman"/>
        </w:rPr>
      </w:pPr>
    </w:p>
    <w:p w14:paraId="49FA56B4" w14:textId="77777777" w:rsidR="00806AB2" w:rsidRDefault="00806AB2" w:rsidP="00B72572">
      <w:pPr>
        <w:pStyle w:val="BodyText"/>
        <w:spacing w:line="249" w:lineRule="exact"/>
        <w:ind w:left="360"/>
        <w:rPr>
          <w:rFonts w:ascii="Times New Roman" w:hAnsi="Times New Roman" w:cs="Times New Roman"/>
        </w:rPr>
      </w:pPr>
    </w:p>
    <w:p w14:paraId="5E9086B6" w14:textId="1166936B" w:rsidR="00806AB2" w:rsidRPr="00E11C45" w:rsidRDefault="00806AB2" w:rsidP="00B72572">
      <w:pPr>
        <w:pStyle w:val="BodyText"/>
        <w:spacing w:line="249" w:lineRule="exact"/>
        <w:ind w:left="360"/>
        <w:rPr>
          <w:rFonts w:ascii="Times New Roman" w:hAnsi="Times New Roman" w:cs="Times New Roman"/>
        </w:rPr>
        <w:sectPr w:rsidR="00806AB2" w:rsidRPr="00E11C45" w:rsidSect="00021407">
          <w:pgSz w:w="12240" w:h="15840"/>
          <w:pgMar w:top="1440" w:right="1440" w:bottom="1440" w:left="1440" w:header="720" w:footer="720" w:gutter="0"/>
          <w:cols w:space="720"/>
          <w:docGrid w:linePitch="326"/>
        </w:sectPr>
      </w:pPr>
    </w:p>
    <w:p w14:paraId="201117E9" w14:textId="77777777" w:rsidR="001E2F2B" w:rsidRPr="00021407" w:rsidRDefault="001E2F2B" w:rsidP="001E2F2B">
      <w:pPr>
        <w:pStyle w:val="Heading1"/>
        <w:spacing w:before="270"/>
        <w:rPr>
          <w:rFonts w:ascii="Times New Roman" w:hAnsi="Times New Roman" w:cs="Times New Roman"/>
          <w:spacing w:val="-2"/>
          <w:sz w:val="28"/>
          <w:szCs w:val="28"/>
        </w:rPr>
      </w:pPr>
      <w:r w:rsidRPr="00021407">
        <w:rPr>
          <w:rFonts w:ascii="Times New Roman" w:hAnsi="Times New Roman" w:cs="Times New Roman"/>
          <w:sz w:val="28"/>
          <w:szCs w:val="28"/>
        </w:rPr>
        <w:lastRenderedPageBreak/>
        <w:t>STATEMENT</w:t>
      </w:r>
      <w:r w:rsidRPr="00021407">
        <w:rPr>
          <w:rFonts w:ascii="Times New Roman" w:hAnsi="Times New Roman" w:cs="Times New Roman"/>
          <w:spacing w:val="-6"/>
          <w:sz w:val="28"/>
          <w:szCs w:val="28"/>
        </w:rPr>
        <w:t xml:space="preserve"> </w:t>
      </w:r>
      <w:r w:rsidRPr="00021407">
        <w:rPr>
          <w:rFonts w:ascii="Times New Roman" w:hAnsi="Times New Roman" w:cs="Times New Roman"/>
          <w:sz w:val="28"/>
          <w:szCs w:val="28"/>
        </w:rPr>
        <w:t>OF</w:t>
      </w:r>
      <w:r w:rsidRPr="00021407">
        <w:rPr>
          <w:rFonts w:ascii="Times New Roman" w:hAnsi="Times New Roman" w:cs="Times New Roman"/>
          <w:spacing w:val="-6"/>
          <w:sz w:val="28"/>
          <w:szCs w:val="28"/>
        </w:rPr>
        <w:t xml:space="preserve"> </w:t>
      </w:r>
      <w:r w:rsidRPr="00021407">
        <w:rPr>
          <w:rFonts w:ascii="Times New Roman" w:hAnsi="Times New Roman" w:cs="Times New Roman"/>
          <w:sz w:val="28"/>
          <w:szCs w:val="28"/>
        </w:rPr>
        <w:t>ISSUES</w:t>
      </w:r>
      <w:r w:rsidRPr="00021407">
        <w:rPr>
          <w:rFonts w:ascii="Times New Roman" w:hAnsi="Times New Roman" w:cs="Times New Roman"/>
          <w:spacing w:val="-6"/>
          <w:sz w:val="28"/>
          <w:szCs w:val="28"/>
        </w:rPr>
        <w:t xml:space="preserve"> </w:t>
      </w:r>
      <w:r w:rsidRPr="00021407">
        <w:rPr>
          <w:rFonts w:ascii="Times New Roman" w:hAnsi="Times New Roman" w:cs="Times New Roman"/>
          <w:sz w:val="28"/>
          <w:szCs w:val="28"/>
        </w:rPr>
        <w:t>PRESENTED</w:t>
      </w:r>
      <w:r w:rsidRPr="00021407">
        <w:rPr>
          <w:rFonts w:ascii="Times New Roman" w:hAnsi="Times New Roman" w:cs="Times New Roman"/>
          <w:spacing w:val="-6"/>
          <w:sz w:val="28"/>
          <w:szCs w:val="28"/>
        </w:rPr>
        <w:t xml:space="preserve"> </w:t>
      </w:r>
      <w:r w:rsidRPr="00021407">
        <w:rPr>
          <w:rFonts w:ascii="Times New Roman" w:hAnsi="Times New Roman" w:cs="Times New Roman"/>
          <w:sz w:val="28"/>
          <w:szCs w:val="28"/>
        </w:rPr>
        <w:t>FOR</w:t>
      </w:r>
      <w:r w:rsidRPr="00021407">
        <w:rPr>
          <w:rFonts w:ascii="Times New Roman" w:hAnsi="Times New Roman" w:cs="Times New Roman"/>
          <w:spacing w:val="-5"/>
          <w:sz w:val="28"/>
          <w:szCs w:val="28"/>
        </w:rPr>
        <w:t xml:space="preserve"> </w:t>
      </w:r>
      <w:r w:rsidRPr="00021407">
        <w:rPr>
          <w:rFonts w:ascii="Times New Roman" w:hAnsi="Times New Roman" w:cs="Times New Roman"/>
          <w:spacing w:val="-2"/>
          <w:sz w:val="28"/>
          <w:szCs w:val="28"/>
        </w:rPr>
        <w:t>REVIEW</w:t>
      </w:r>
    </w:p>
    <w:p w14:paraId="5D866A7D" w14:textId="77777777" w:rsidR="00021407" w:rsidRPr="00E11C45" w:rsidRDefault="00021407" w:rsidP="001E2F2B">
      <w:pPr>
        <w:pStyle w:val="Heading1"/>
        <w:spacing w:before="270"/>
        <w:rPr>
          <w:rFonts w:ascii="Times New Roman" w:hAnsi="Times New Roman" w:cs="Times New Roman"/>
        </w:rPr>
      </w:pPr>
    </w:p>
    <w:p w14:paraId="4ACF0FD3" w14:textId="2F1CD9EC" w:rsidR="001E2F2B" w:rsidRPr="00021407" w:rsidRDefault="001E2F2B" w:rsidP="001E2F2B">
      <w:pPr>
        <w:pStyle w:val="ListParagraph"/>
        <w:numPr>
          <w:ilvl w:val="1"/>
          <w:numId w:val="2"/>
        </w:numPr>
        <w:tabs>
          <w:tab w:val="left" w:pos="1078"/>
          <w:tab w:val="left" w:pos="1080"/>
        </w:tabs>
        <w:spacing w:before="341" w:line="480" w:lineRule="auto"/>
        <w:ind w:right="938"/>
        <w:rPr>
          <w:rFonts w:ascii="Times New Roman" w:hAnsi="Times New Roman" w:cs="Times New Roman"/>
        </w:rPr>
      </w:pPr>
      <w:r w:rsidRPr="00E11C45">
        <w:rPr>
          <w:rFonts w:ascii="Times New Roman" w:hAnsi="Times New Roman" w:cs="Times New Roman"/>
          <w:sz w:val="22"/>
        </w:rPr>
        <w:t>Whether the district court erred in granting summary judgment to Architronics by concluding</w:t>
      </w:r>
      <w:r w:rsidRPr="00E11C45">
        <w:rPr>
          <w:rFonts w:ascii="Times New Roman" w:hAnsi="Times New Roman" w:cs="Times New Roman"/>
          <w:spacing w:val="-4"/>
          <w:sz w:val="22"/>
        </w:rPr>
        <w:t xml:space="preserve"> </w:t>
      </w:r>
      <w:r w:rsidRPr="00E11C45">
        <w:rPr>
          <w:rFonts w:ascii="Times New Roman" w:hAnsi="Times New Roman" w:cs="Times New Roman"/>
          <w:sz w:val="22"/>
        </w:rPr>
        <w:t>that</w:t>
      </w:r>
      <w:r w:rsidRPr="00E11C45">
        <w:rPr>
          <w:rFonts w:ascii="Times New Roman" w:hAnsi="Times New Roman" w:cs="Times New Roman"/>
          <w:spacing w:val="-4"/>
          <w:sz w:val="22"/>
        </w:rPr>
        <w:t xml:space="preserve"> </w:t>
      </w:r>
      <w:r w:rsidRPr="00E11C45">
        <w:rPr>
          <w:rFonts w:ascii="Times New Roman" w:hAnsi="Times New Roman" w:cs="Times New Roman"/>
          <w:sz w:val="22"/>
        </w:rPr>
        <w:t>Morgan</w:t>
      </w:r>
      <w:r w:rsidRPr="00E11C45">
        <w:rPr>
          <w:rFonts w:ascii="Times New Roman" w:hAnsi="Times New Roman" w:cs="Times New Roman"/>
          <w:spacing w:val="-4"/>
          <w:sz w:val="22"/>
        </w:rPr>
        <w:t xml:space="preserve"> </w:t>
      </w:r>
      <w:r w:rsidRPr="00E11C45">
        <w:rPr>
          <w:rFonts w:ascii="Times New Roman" w:hAnsi="Times New Roman" w:cs="Times New Roman"/>
          <w:sz w:val="22"/>
        </w:rPr>
        <w:t>failed</w:t>
      </w:r>
      <w:r w:rsidRPr="00E11C45">
        <w:rPr>
          <w:rFonts w:ascii="Times New Roman" w:hAnsi="Times New Roman" w:cs="Times New Roman"/>
          <w:spacing w:val="-4"/>
          <w:sz w:val="22"/>
        </w:rPr>
        <w:t xml:space="preserve"> </w:t>
      </w:r>
      <w:r w:rsidRPr="00E11C45">
        <w:rPr>
          <w:rFonts w:ascii="Times New Roman" w:hAnsi="Times New Roman" w:cs="Times New Roman"/>
          <w:sz w:val="22"/>
        </w:rPr>
        <w:t>to</w:t>
      </w:r>
      <w:r w:rsidRPr="00E11C45">
        <w:rPr>
          <w:rFonts w:ascii="Times New Roman" w:hAnsi="Times New Roman" w:cs="Times New Roman"/>
          <w:spacing w:val="-4"/>
          <w:sz w:val="22"/>
        </w:rPr>
        <w:t xml:space="preserve"> </w:t>
      </w:r>
      <w:r w:rsidRPr="00E11C45">
        <w:rPr>
          <w:rFonts w:ascii="Times New Roman" w:hAnsi="Times New Roman" w:cs="Times New Roman"/>
          <w:sz w:val="22"/>
        </w:rPr>
        <w:t>show</w:t>
      </w:r>
      <w:r w:rsidRPr="00E11C45">
        <w:rPr>
          <w:rFonts w:ascii="Times New Roman" w:hAnsi="Times New Roman" w:cs="Times New Roman"/>
          <w:spacing w:val="-4"/>
          <w:sz w:val="22"/>
        </w:rPr>
        <w:t xml:space="preserve"> </w:t>
      </w:r>
      <w:r w:rsidRPr="00E11C45">
        <w:rPr>
          <w:rFonts w:ascii="Times New Roman" w:hAnsi="Times New Roman" w:cs="Times New Roman"/>
          <w:sz w:val="22"/>
        </w:rPr>
        <w:t>the</w:t>
      </w:r>
      <w:r w:rsidRPr="00E11C45">
        <w:rPr>
          <w:rFonts w:ascii="Times New Roman" w:hAnsi="Times New Roman" w:cs="Times New Roman"/>
          <w:spacing w:val="-4"/>
          <w:sz w:val="22"/>
        </w:rPr>
        <w:t xml:space="preserve"> </w:t>
      </w:r>
      <w:r w:rsidRPr="00E11C45">
        <w:rPr>
          <w:rFonts w:ascii="Times New Roman" w:hAnsi="Times New Roman" w:cs="Times New Roman"/>
          <w:sz w:val="22"/>
        </w:rPr>
        <w:t>company’s</w:t>
      </w:r>
      <w:r w:rsidRPr="00E11C45">
        <w:rPr>
          <w:rFonts w:ascii="Times New Roman" w:hAnsi="Times New Roman" w:cs="Times New Roman"/>
          <w:spacing w:val="-4"/>
          <w:sz w:val="22"/>
        </w:rPr>
        <w:t xml:space="preserve"> </w:t>
      </w:r>
      <w:r w:rsidRPr="00E11C45">
        <w:rPr>
          <w:rFonts w:ascii="Times New Roman" w:hAnsi="Times New Roman" w:cs="Times New Roman"/>
          <w:sz w:val="22"/>
        </w:rPr>
        <w:t>stated</w:t>
      </w:r>
      <w:r w:rsidRPr="00E11C45">
        <w:rPr>
          <w:rFonts w:ascii="Times New Roman" w:hAnsi="Times New Roman" w:cs="Times New Roman"/>
          <w:spacing w:val="-4"/>
          <w:sz w:val="22"/>
        </w:rPr>
        <w:t xml:space="preserve"> </w:t>
      </w:r>
      <w:r w:rsidR="00021407">
        <w:rPr>
          <w:rFonts w:ascii="Times New Roman" w:hAnsi="Times New Roman" w:cs="Times New Roman"/>
          <w:spacing w:val="-4"/>
          <w:sz w:val="22"/>
        </w:rPr>
        <w:t xml:space="preserve">Legitimate, Nondiscriminatory </w:t>
      </w:r>
      <w:r w:rsidR="00021407">
        <w:rPr>
          <w:rFonts w:ascii="Times New Roman" w:hAnsi="Times New Roman" w:cs="Times New Roman"/>
          <w:sz w:val="22"/>
        </w:rPr>
        <w:t>R</w:t>
      </w:r>
      <w:r w:rsidRPr="00E11C45">
        <w:rPr>
          <w:rFonts w:ascii="Times New Roman" w:hAnsi="Times New Roman" w:cs="Times New Roman"/>
          <w:sz w:val="22"/>
        </w:rPr>
        <w:t>eason</w:t>
      </w:r>
      <w:r w:rsidR="00021407">
        <w:rPr>
          <w:rFonts w:ascii="Times New Roman" w:hAnsi="Times New Roman" w:cs="Times New Roman"/>
          <w:sz w:val="22"/>
        </w:rPr>
        <w:t xml:space="preserve"> (</w:t>
      </w:r>
      <w:r w:rsidR="007E143C">
        <w:rPr>
          <w:rFonts w:ascii="Times New Roman" w:hAnsi="Times New Roman" w:cs="Times New Roman"/>
          <w:sz w:val="22"/>
        </w:rPr>
        <w:t xml:space="preserve">LNDR) </w:t>
      </w:r>
      <w:r w:rsidR="007E143C" w:rsidRPr="00E11C45">
        <w:rPr>
          <w:rFonts w:ascii="Times New Roman" w:hAnsi="Times New Roman" w:cs="Times New Roman"/>
          <w:spacing w:val="-4"/>
          <w:sz w:val="22"/>
        </w:rPr>
        <w:t>for</w:t>
      </w:r>
      <w:r w:rsidRPr="00E11C45">
        <w:rPr>
          <w:rFonts w:ascii="Times New Roman" w:hAnsi="Times New Roman" w:cs="Times New Roman"/>
          <w:spacing w:val="-4"/>
          <w:sz w:val="22"/>
        </w:rPr>
        <w:t xml:space="preserve"> </w:t>
      </w:r>
      <w:r w:rsidRPr="00E11C45">
        <w:rPr>
          <w:rFonts w:ascii="Times New Roman" w:hAnsi="Times New Roman" w:cs="Times New Roman"/>
          <w:sz w:val="22"/>
        </w:rPr>
        <w:t>firing</w:t>
      </w:r>
      <w:r w:rsidRPr="00E11C45">
        <w:rPr>
          <w:rFonts w:ascii="Times New Roman" w:hAnsi="Times New Roman" w:cs="Times New Roman"/>
          <w:spacing w:val="-4"/>
          <w:sz w:val="22"/>
        </w:rPr>
        <w:t xml:space="preserve"> </w:t>
      </w:r>
      <w:r w:rsidRPr="00E11C45">
        <w:rPr>
          <w:rFonts w:ascii="Times New Roman" w:hAnsi="Times New Roman" w:cs="Times New Roman"/>
          <w:sz w:val="22"/>
        </w:rPr>
        <w:t>him</w:t>
      </w:r>
      <w:r w:rsidR="00021407">
        <w:rPr>
          <w:rFonts w:ascii="Times New Roman" w:hAnsi="Times New Roman" w:cs="Times New Roman"/>
          <w:sz w:val="22"/>
        </w:rPr>
        <w:t xml:space="preserve"> </w:t>
      </w:r>
      <w:r w:rsidRPr="00E11C45">
        <w:rPr>
          <w:rFonts w:ascii="Times New Roman" w:hAnsi="Times New Roman" w:cs="Times New Roman"/>
          <w:sz w:val="22"/>
        </w:rPr>
        <w:t>was pretext for age discrimination.</w:t>
      </w:r>
    </w:p>
    <w:p w14:paraId="1A6DCC72" w14:textId="77777777" w:rsidR="00021407" w:rsidRPr="00021407" w:rsidRDefault="00021407" w:rsidP="00021407">
      <w:pPr>
        <w:tabs>
          <w:tab w:val="left" w:pos="1078"/>
          <w:tab w:val="left" w:pos="1080"/>
        </w:tabs>
        <w:spacing w:before="341" w:line="480" w:lineRule="auto"/>
        <w:ind w:left="720" w:right="938"/>
      </w:pPr>
    </w:p>
    <w:p w14:paraId="049EE4C0" w14:textId="77777777" w:rsidR="001E2F2B" w:rsidRPr="00E11C45" w:rsidRDefault="001E2F2B" w:rsidP="001E2F2B">
      <w:pPr>
        <w:pStyle w:val="ListParagraph"/>
        <w:numPr>
          <w:ilvl w:val="1"/>
          <w:numId w:val="2"/>
        </w:numPr>
        <w:tabs>
          <w:tab w:val="left" w:pos="1078"/>
          <w:tab w:val="left" w:pos="1080"/>
        </w:tabs>
        <w:spacing w:line="480" w:lineRule="auto"/>
        <w:ind w:right="706"/>
        <w:rPr>
          <w:rFonts w:ascii="Times New Roman" w:hAnsi="Times New Roman" w:cs="Times New Roman"/>
        </w:rPr>
      </w:pPr>
      <w:r w:rsidRPr="00E11C45">
        <w:rPr>
          <w:rFonts w:ascii="Times New Roman" w:hAnsi="Times New Roman" w:cs="Times New Roman"/>
          <w:sz w:val="22"/>
        </w:rPr>
        <w:t>Whether</w:t>
      </w:r>
      <w:r w:rsidRPr="00E11C45">
        <w:rPr>
          <w:rFonts w:ascii="Times New Roman" w:hAnsi="Times New Roman" w:cs="Times New Roman"/>
          <w:spacing w:val="-3"/>
          <w:sz w:val="22"/>
        </w:rPr>
        <w:t xml:space="preserve"> </w:t>
      </w:r>
      <w:r w:rsidRPr="00E11C45">
        <w:rPr>
          <w:rFonts w:ascii="Times New Roman" w:hAnsi="Times New Roman" w:cs="Times New Roman"/>
          <w:sz w:val="22"/>
        </w:rPr>
        <w:t>the</w:t>
      </w:r>
      <w:r w:rsidRPr="00E11C45">
        <w:rPr>
          <w:rFonts w:ascii="Times New Roman" w:hAnsi="Times New Roman" w:cs="Times New Roman"/>
          <w:spacing w:val="-3"/>
          <w:sz w:val="22"/>
        </w:rPr>
        <w:t xml:space="preserve"> </w:t>
      </w:r>
      <w:r w:rsidRPr="00E11C45">
        <w:rPr>
          <w:rFonts w:ascii="Times New Roman" w:hAnsi="Times New Roman" w:cs="Times New Roman"/>
          <w:sz w:val="22"/>
        </w:rPr>
        <w:t>district</w:t>
      </w:r>
      <w:r w:rsidRPr="00E11C45">
        <w:rPr>
          <w:rFonts w:ascii="Times New Roman" w:hAnsi="Times New Roman" w:cs="Times New Roman"/>
          <w:spacing w:val="-3"/>
          <w:sz w:val="22"/>
        </w:rPr>
        <w:t xml:space="preserve"> </w:t>
      </w:r>
      <w:r w:rsidRPr="00E11C45">
        <w:rPr>
          <w:rFonts w:ascii="Times New Roman" w:hAnsi="Times New Roman" w:cs="Times New Roman"/>
          <w:sz w:val="22"/>
        </w:rPr>
        <w:t>court</w:t>
      </w:r>
      <w:r w:rsidRPr="00E11C45">
        <w:rPr>
          <w:rFonts w:ascii="Times New Roman" w:hAnsi="Times New Roman" w:cs="Times New Roman"/>
          <w:spacing w:val="-3"/>
          <w:sz w:val="22"/>
        </w:rPr>
        <w:t xml:space="preserve"> </w:t>
      </w:r>
      <w:r w:rsidRPr="00E11C45">
        <w:rPr>
          <w:rFonts w:ascii="Times New Roman" w:hAnsi="Times New Roman" w:cs="Times New Roman"/>
          <w:sz w:val="22"/>
        </w:rPr>
        <w:t>erred</w:t>
      </w:r>
      <w:r w:rsidRPr="00E11C45">
        <w:rPr>
          <w:rFonts w:ascii="Times New Roman" w:hAnsi="Times New Roman" w:cs="Times New Roman"/>
          <w:spacing w:val="-3"/>
          <w:sz w:val="22"/>
        </w:rPr>
        <w:t xml:space="preserve"> </w:t>
      </w:r>
      <w:r w:rsidRPr="00E11C45">
        <w:rPr>
          <w:rFonts w:ascii="Times New Roman" w:hAnsi="Times New Roman" w:cs="Times New Roman"/>
          <w:sz w:val="22"/>
        </w:rPr>
        <w:t>in</w:t>
      </w:r>
      <w:r w:rsidRPr="00E11C45">
        <w:rPr>
          <w:rFonts w:ascii="Times New Roman" w:hAnsi="Times New Roman" w:cs="Times New Roman"/>
          <w:spacing w:val="-3"/>
          <w:sz w:val="22"/>
        </w:rPr>
        <w:t xml:space="preserve"> </w:t>
      </w:r>
      <w:r w:rsidRPr="00E11C45">
        <w:rPr>
          <w:rFonts w:ascii="Times New Roman" w:hAnsi="Times New Roman" w:cs="Times New Roman"/>
          <w:sz w:val="22"/>
        </w:rPr>
        <w:t>holding</w:t>
      </w:r>
      <w:r w:rsidRPr="00E11C45">
        <w:rPr>
          <w:rFonts w:ascii="Times New Roman" w:hAnsi="Times New Roman" w:cs="Times New Roman"/>
          <w:spacing w:val="-3"/>
          <w:sz w:val="22"/>
        </w:rPr>
        <w:t xml:space="preserve"> </w:t>
      </w:r>
      <w:r w:rsidRPr="00E11C45">
        <w:rPr>
          <w:rFonts w:ascii="Times New Roman" w:hAnsi="Times New Roman" w:cs="Times New Roman"/>
          <w:sz w:val="22"/>
        </w:rPr>
        <w:t>that</w:t>
      </w:r>
      <w:r w:rsidRPr="00E11C45">
        <w:rPr>
          <w:rFonts w:ascii="Times New Roman" w:hAnsi="Times New Roman" w:cs="Times New Roman"/>
          <w:spacing w:val="-3"/>
          <w:sz w:val="22"/>
        </w:rPr>
        <w:t xml:space="preserve"> </w:t>
      </w:r>
      <w:r w:rsidRPr="00E11C45">
        <w:rPr>
          <w:rFonts w:ascii="Times New Roman" w:hAnsi="Times New Roman" w:cs="Times New Roman"/>
          <w:sz w:val="22"/>
        </w:rPr>
        <w:t>no</w:t>
      </w:r>
      <w:r w:rsidRPr="00E11C45">
        <w:rPr>
          <w:rFonts w:ascii="Times New Roman" w:hAnsi="Times New Roman" w:cs="Times New Roman"/>
          <w:spacing w:val="-3"/>
          <w:sz w:val="22"/>
        </w:rPr>
        <w:t xml:space="preserve"> </w:t>
      </w:r>
      <w:r w:rsidRPr="00E11C45">
        <w:rPr>
          <w:rFonts w:ascii="Times New Roman" w:hAnsi="Times New Roman" w:cs="Times New Roman"/>
          <w:sz w:val="22"/>
        </w:rPr>
        <w:t>reasonable</w:t>
      </w:r>
      <w:r w:rsidRPr="00E11C45">
        <w:rPr>
          <w:rFonts w:ascii="Times New Roman" w:hAnsi="Times New Roman" w:cs="Times New Roman"/>
          <w:spacing w:val="-3"/>
          <w:sz w:val="22"/>
        </w:rPr>
        <w:t xml:space="preserve"> </w:t>
      </w:r>
      <w:r w:rsidRPr="00E11C45">
        <w:rPr>
          <w:rFonts w:ascii="Times New Roman" w:hAnsi="Times New Roman" w:cs="Times New Roman"/>
          <w:sz w:val="22"/>
        </w:rPr>
        <w:t>jury</w:t>
      </w:r>
      <w:r w:rsidRPr="00E11C45">
        <w:rPr>
          <w:rFonts w:ascii="Times New Roman" w:hAnsi="Times New Roman" w:cs="Times New Roman"/>
          <w:spacing w:val="-3"/>
          <w:sz w:val="22"/>
        </w:rPr>
        <w:t xml:space="preserve"> </w:t>
      </w:r>
      <w:r w:rsidRPr="00E11C45">
        <w:rPr>
          <w:rFonts w:ascii="Times New Roman" w:hAnsi="Times New Roman" w:cs="Times New Roman"/>
          <w:sz w:val="22"/>
        </w:rPr>
        <w:t>could</w:t>
      </w:r>
      <w:r w:rsidRPr="00E11C45">
        <w:rPr>
          <w:rFonts w:ascii="Times New Roman" w:hAnsi="Times New Roman" w:cs="Times New Roman"/>
          <w:spacing w:val="-3"/>
          <w:sz w:val="22"/>
        </w:rPr>
        <w:t xml:space="preserve"> </w:t>
      </w:r>
      <w:r w:rsidRPr="00E11C45">
        <w:rPr>
          <w:rFonts w:ascii="Times New Roman" w:hAnsi="Times New Roman" w:cs="Times New Roman"/>
          <w:sz w:val="22"/>
        </w:rPr>
        <w:t>find</w:t>
      </w:r>
      <w:r w:rsidRPr="00E11C45">
        <w:rPr>
          <w:rFonts w:ascii="Times New Roman" w:hAnsi="Times New Roman" w:cs="Times New Roman"/>
          <w:spacing w:val="-3"/>
          <w:sz w:val="22"/>
        </w:rPr>
        <w:t xml:space="preserve"> </w:t>
      </w:r>
      <w:r w:rsidRPr="00E11C45">
        <w:rPr>
          <w:rFonts w:ascii="Times New Roman" w:hAnsi="Times New Roman" w:cs="Times New Roman"/>
          <w:sz w:val="22"/>
        </w:rPr>
        <w:t xml:space="preserve">Morgan’s age was the </w:t>
      </w:r>
      <w:proofErr w:type="spellStart"/>
      <w:r w:rsidRPr="00E11C45">
        <w:rPr>
          <w:rFonts w:ascii="Times New Roman" w:hAnsi="Times New Roman" w:cs="Times New Roman"/>
          <w:sz w:val="22"/>
        </w:rPr>
        <w:t>but</w:t>
      </w:r>
      <w:proofErr w:type="spellEnd"/>
      <w:r w:rsidRPr="00E11C45">
        <w:rPr>
          <w:rFonts w:ascii="Times New Roman" w:hAnsi="Times New Roman" w:cs="Times New Roman"/>
          <w:sz w:val="22"/>
        </w:rPr>
        <w:t xml:space="preserve">-for </w:t>
      </w:r>
      <w:proofErr w:type="gramStart"/>
      <w:r w:rsidRPr="00E11C45">
        <w:rPr>
          <w:rFonts w:ascii="Times New Roman" w:hAnsi="Times New Roman" w:cs="Times New Roman"/>
          <w:sz w:val="22"/>
        </w:rPr>
        <w:t>cause</w:t>
      </w:r>
      <w:proofErr w:type="gramEnd"/>
      <w:r w:rsidRPr="00E11C45">
        <w:rPr>
          <w:rFonts w:ascii="Times New Roman" w:hAnsi="Times New Roman" w:cs="Times New Roman"/>
          <w:sz w:val="22"/>
        </w:rPr>
        <w:t xml:space="preserve"> of his termination, despite age-based comments from decisionmakers, superior performance metrics, and replacement by a substantially younger employee.</w:t>
      </w:r>
    </w:p>
    <w:p w14:paraId="50E3C8AA" w14:textId="77777777" w:rsidR="000117AD" w:rsidRDefault="000117AD" w:rsidP="001E2F2B">
      <w:pPr>
        <w:spacing w:line="276" w:lineRule="auto"/>
      </w:pPr>
    </w:p>
    <w:p w14:paraId="2EB83EA5" w14:textId="77777777" w:rsidR="001E2F2B" w:rsidRDefault="001E2F2B" w:rsidP="001E2F2B">
      <w:pPr>
        <w:spacing w:line="276" w:lineRule="auto"/>
      </w:pPr>
    </w:p>
    <w:p w14:paraId="01068B5C" w14:textId="731CFB25" w:rsidR="001E2F2B" w:rsidRDefault="001E2F2B">
      <w:pPr>
        <w:widowControl w:val="0"/>
        <w:autoSpaceDE w:val="0"/>
        <w:autoSpaceDN w:val="0"/>
      </w:pPr>
      <w:r>
        <w:br w:type="page"/>
      </w:r>
    </w:p>
    <w:p w14:paraId="39DBB986" w14:textId="77777777" w:rsidR="001E2F2B" w:rsidRPr="001E2F2B" w:rsidRDefault="001E2F2B" w:rsidP="001E2F2B">
      <w:pPr>
        <w:spacing w:line="276" w:lineRule="auto"/>
      </w:pPr>
    </w:p>
    <w:p w14:paraId="0E99E5FB" w14:textId="77777777" w:rsidR="001E2F2B" w:rsidRDefault="001E2F2B">
      <w:pPr>
        <w:pStyle w:val="ListParagraph"/>
        <w:spacing w:line="276" w:lineRule="auto"/>
        <w:rPr>
          <w:rFonts w:ascii="Times New Roman" w:hAnsi="Times New Roman" w:cs="Times New Roman"/>
        </w:rPr>
      </w:pPr>
    </w:p>
    <w:p w14:paraId="6BC1C826" w14:textId="77777777" w:rsidR="001E2F2B" w:rsidRPr="00E11C45" w:rsidRDefault="001E2F2B" w:rsidP="001E2F2B">
      <w:pPr>
        <w:pStyle w:val="Heading1"/>
        <w:rPr>
          <w:rFonts w:ascii="Times New Roman" w:hAnsi="Times New Roman" w:cs="Times New Roman"/>
        </w:rPr>
      </w:pPr>
      <w:r w:rsidRPr="00E11C45">
        <w:rPr>
          <w:rFonts w:ascii="Times New Roman" w:hAnsi="Times New Roman" w:cs="Times New Roman"/>
        </w:rPr>
        <w:t>TABLE</w:t>
      </w:r>
      <w:r w:rsidRPr="00E11C45">
        <w:rPr>
          <w:rFonts w:ascii="Times New Roman" w:hAnsi="Times New Roman" w:cs="Times New Roman"/>
          <w:spacing w:val="-4"/>
        </w:rPr>
        <w:t xml:space="preserve"> </w:t>
      </w:r>
      <w:r w:rsidRPr="00E11C45">
        <w:rPr>
          <w:rFonts w:ascii="Times New Roman" w:hAnsi="Times New Roman" w:cs="Times New Roman"/>
        </w:rPr>
        <w:t>OF</w:t>
      </w:r>
      <w:r w:rsidRPr="00E11C45">
        <w:rPr>
          <w:rFonts w:ascii="Times New Roman" w:hAnsi="Times New Roman" w:cs="Times New Roman"/>
          <w:spacing w:val="-3"/>
        </w:rPr>
        <w:t xml:space="preserve"> </w:t>
      </w:r>
      <w:r w:rsidRPr="00E11C45">
        <w:rPr>
          <w:rFonts w:ascii="Times New Roman" w:hAnsi="Times New Roman" w:cs="Times New Roman"/>
          <w:spacing w:val="-2"/>
        </w:rPr>
        <w:t>AUTHORITIES</w:t>
      </w:r>
    </w:p>
    <w:p w14:paraId="04284C60" w14:textId="77777777" w:rsidR="001E2F2B" w:rsidRPr="00E11C45" w:rsidRDefault="001E2F2B" w:rsidP="001E2F2B">
      <w:pPr>
        <w:pStyle w:val="BodyText"/>
        <w:spacing w:before="282"/>
        <w:rPr>
          <w:rFonts w:ascii="Times New Roman" w:hAnsi="Times New Roman" w:cs="Times New Roman"/>
          <w:b/>
          <w:sz w:val="34"/>
        </w:rPr>
      </w:pPr>
    </w:p>
    <w:p w14:paraId="239C0AD5" w14:textId="178CAB12" w:rsidR="007E143C" w:rsidRDefault="001E2F2B" w:rsidP="007E143C">
      <w:pPr>
        <w:pStyle w:val="Heading2"/>
        <w:ind w:left="0" w:firstLine="0"/>
        <w:rPr>
          <w:rFonts w:ascii="Times New Roman" w:hAnsi="Times New Roman" w:cs="Times New Roman"/>
          <w:spacing w:val="-2"/>
        </w:rPr>
      </w:pPr>
      <w:r w:rsidRPr="00E11C45">
        <w:rPr>
          <w:rFonts w:ascii="Times New Roman" w:hAnsi="Times New Roman" w:cs="Times New Roman"/>
          <w:spacing w:val="-2"/>
        </w:rPr>
        <w:t>Cases</w:t>
      </w:r>
    </w:p>
    <w:p w14:paraId="12AB181B" w14:textId="77777777" w:rsidR="007E143C" w:rsidRPr="007E143C" w:rsidRDefault="007E143C" w:rsidP="007E143C">
      <w:pPr>
        <w:pStyle w:val="Heading2"/>
        <w:ind w:left="0" w:firstLine="0"/>
        <w:rPr>
          <w:rFonts w:ascii="Times New Roman" w:hAnsi="Times New Roman" w:cs="Times New Roman"/>
        </w:rPr>
      </w:pPr>
    </w:p>
    <w:p w14:paraId="1FC0841B" w14:textId="3798CD5C" w:rsidR="00CD4C64" w:rsidRDefault="00CD4C64" w:rsidP="007E143C">
      <w:pPr>
        <w:pStyle w:val="BodyText"/>
        <w:spacing w:before="28" w:line="480" w:lineRule="auto"/>
        <w:rPr>
          <w:rFonts w:ascii="Times New Roman" w:eastAsia="Times New Roman" w:hAnsi="Times New Roman" w:cs="Times New Roman"/>
          <w:i/>
          <w:sz w:val="24"/>
          <w:szCs w:val="24"/>
        </w:rPr>
      </w:pPr>
      <w:r w:rsidRPr="00FF3E2C">
        <w:rPr>
          <w:rFonts w:ascii="Times New Roman" w:eastAsia="Times New Roman" w:hAnsi="Times New Roman" w:cs="Times New Roman"/>
          <w:i/>
          <w:sz w:val="24"/>
          <w:szCs w:val="24"/>
        </w:rPr>
        <w:t>Bienkowski v. Am. Airlines, Inc.</w:t>
      </w:r>
      <w:r w:rsidRPr="00FF3E2C">
        <w:rPr>
          <w:rFonts w:ascii="Times New Roman" w:eastAsia="Times New Roman" w:hAnsi="Times New Roman" w:cs="Times New Roman"/>
          <w:sz w:val="24"/>
          <w:szCs w:val="24"/>
        </w:rPr>
        <w:t>, 851 F.2d 1503, 1506 (5th Cir. 1988</w:t>
      </w:r>
      <w:r w:rsidRPr="00FF3E2C">
        <w:rPr>
          <w:rFonts w:ascii="Times New Roman" w:hAnsi="Times New Roman" w:cs="Times New Roman"/>
          <w:sz w:val="24"/>
          <w:szCs w:val="24"/>
        </w:rPr>
        <w:t>)</w:t>
      </w:r>
    </w:p>
    <w:p w14:paraId="25E23779" w14:textId="3DAFE3BC" w:rsidR="007E143C" w:rsidRPr="00CD4C64" w:rsidRDefault="007E143C" w:rsidP="007E143C">
      <w:pPr>
        <w:pStyle w:val="BodyText"/>
        <w:spacing w:before="28" w:line="480" w:lineRule="auto"/>
        <w:rPr>
          <w:rFonts w:ascii="Times New Roman" w:eastAsia="Times New Roman" w:hAnsi="Times New Roman" w:cs="Times New Roman"/>
          <w:i/>
          <w:sz w:val="24"/>
          <w:szCs w:val="24"/>
        </w:rPr>
      </w:pPr>
      <w:r w:rsidRPr="00CD4C64">
        <w:rPr>
          <w:rFonts w:ascii="Times New Roman" w:eastAsia="Times New Roman" w:hAnsi="Times New Roman" w:cs="Times New Roman"/>
          <w:i/>
          <w:sz w:val="24"/>
          <w:szCs w:val="24"/>
        </w:rPr>
        <w:t>Dabbasi v. Motiva Enters</w:t>
      </w:r>
      <w:r w:rsidRPr="00CD4C64">
        <w:rPr>
          <w:rFonts w:ascii="Times New Roman" w:eastAsia="Times New Roman" w:hAnsi="Times New Roman" w:cs="Times New Roman"/>
          <w:iCs/>
          <w:sz w:val="24"/>
          <w:szCs w:val="24"/>
        </w:rPr>
        <w:t>., 107 F. 4th 500 (5th Cir. 2024)</w:t>
      </w:r>
      <w:r w:rsidRPr="00CD4C64">
        <w:rPr>
          <w:rFonts w:ascii="Times New Roman" w:eastAsia="Times New Roman" w:hAnsi="Times New Roman" w:cs="Times New Roman"/>
          <w:i/>
          <w:sz w:val="24"/>
          <w:szCs w:val="24"/>
        </w:rPr>
        <w:t xml:space="preserve"> </w:t>
      </w:r>
    </w:p>
    <w:p w14:paraId="53D93BFA" w14:textId="77777777" w:rsidR="007E143C" w:rsidRPr="00CD4C64" w:rsidRDefault="007E143C" w:rsidP="007E143C">
      <w:pPr>
        <w:pStyle w:val="BodyText"/>
        <w:spacing w:before="28" w:line="480" w:lineRule="auto"/>
        <w:rPr>
          <w:rFonts w:ascii="Times New Roman" w:eastAsia="Times New Roman" w:hAnsi="Times New Roman" w:cs="Times New Roman"/>
          <w:iCs/>
          <w:sz w:val="24"/>
          <w:szCs w:val="24"/>
        </w:rPr>
      </w:pPr>
      <w:r w:rsidRPr="00CD4C64">
        <w:rPr>
          <w:rFonts w:ascii="Times New Roman" w:eastAsia="Times New Roman" w:hAnsi="Times New Roman" w:cs="Times New Roman"/>
          <w:i/>
          <w:sz w:val="24"/>
          <w:szCs w:val="24"/>
        </w:rPr>
        <w:t xml:space="preserve">Goudeau v. Nat. Oilwell Varco, LP, </w:t>
      </w:r>
      <w:r w:rsidRPr="00CD4C64">
        <w:rPr>
          <w:rFonts w:ascii="Times New Roman" w:eastAsia="Times New Roman" w:hAnsi="Times New Roman" w:cs="Times New Roman"/>
          <w:iCs/>
          <w:sz w:val="24"/>
          <w:szCs w:val="24"/>
        </w:rPr>
        <w:t>793 F.3d 470,478 (5th Cir. 2015)</w:t>
      </w:r>
    </w:p>
    <w:p w14:paraId="3C26BBEA" w14:textId="7D0A9C93" w:rsidR="007E143C" w:rsidRPr="00CD4C64" w:rsidRDefault="007E143C" w:rsidP="007E143C">
      <w:pPr>
        <w:pStyle w:val="BodyText"/>
        <w:spacing w:before="28" w:line="480" w:lineRule="auto"/>
        <w:rPr>
          <w:rFonts w:ascii="Times New Roman" w:eastAsia="Times New Roman" w:hAnsi="Times New Roman" w:cs="Times New Roman"/>
          <w:i/>
          <w:sz w:val="24"/>
          <w:szCs w:val="24"/>
        </w:rPr>
      </w:pPr>
      <w:r w:rsidRPr="00CD4C64">
        <w:rPr>
          <w:rFonts w:ascii="Times New Roman" w:eastAsia="Times New Roman" w:hAnsi="Times New Roman" w:cs="Times New Roman"/>
          <w:i/>
          <w:sz w:val="24"/>
          <w:szCs w:val="24"/>
        </w:rPr>
        <w:t xml:space="preserve">Gross v. FBL Fin. Serv's, </w:t>
      </w:r>
      <w:r w:rsidRPr="00CD4C64">
        <w:rPr>
          <w:rFonts w:ascii="Times New Roman" w:eastAsia="Times New Roman" w:hAnsi="Times New Roman" w:cs="Times New Roman"/>
          <w:iCs/>
          <w:sz w:val="24"/>
          <w:szCs w:val="24"/>
        </w:rPr>
        <w:t>129 S. Ct. 2343 (2009)</w:t>
      </w:r>
    </w:p>
    <w:p w14:paraId="3503E696" w14:textId="4FDECC3F" w:rsidR="007E143C" w:rsidRPr="00CD4C64" w:rsidRDefault="007E143C" w:rsidP="007E143C">
      <w:pPr>
        <w:pStyle w:val="BodyText"/>
        <w:spacing w:before="28" w:line="480" w:lineRule="auto"/>
        <w:rPr>
          <w:rFonts w:ascii="Times New Roman" w:eastAsia="Times New Roman" w:hAnsi="Times New Roman" w:cs="Times New Roman"/>
          <w:i/>
          <w:sz w:val="24"/>
          <w:szCs w:val="24"/>
        </w:rPr>
      </w:pPr>
      <w:r w:rsidRPr="00CD4C64">
        <w:rPr>
          <w:rFonts w:ascii="Times New Roman" w:eastAsia="Times New Roman" w:hAnsi="Times New Roman" w:cs="Times New Roman"/>
          <w:i/>
          <w:sz w:val="24"/>
          <w:szCs w:val="24"/>
        </w:rPr>
        <w:t xml:space="preserve">Machinchick v. PB Power, Inc., </w:t>
      </w:r>
      <w:r w:rsidRPr="00CD4C64">
        <w:rPr>
          <w:rFonts w:ascii="Times New Roman" w:eastAsia="Times New Roman" w:hAnsi="Times New Roman" w:cs="Times New Roman"/>
          <w:iCs/>
          <w:sz w:val="24"/>
          <w:szCs w:val="24"/>
        </w:rPr>
        <w:t>398 F.3d 345 (5th Cir. 2005)</w:t>
      </w:r>
    </w:p>
    <w:p w14:paraId="4E591EAA" w14:textId="62DFF070" w:rsidR="007E143C" w:rsidRPr="00CD4C64" w:rsidRDefault="007E143C" w:rsidP="007E143C">
      <w:pPr>
        <w:pStyle w:val="BodyText"/>
        <w:spacing w:before="28" w:line="480" w:lineRule="auto"/>
        <w:rPr>
          <w:rFonts w:ascii="Times New Roman" w:eastAsia="Times New Roman" w:hAnsi="Times New Roman" w:cs="Times New Roman"/>
          <w:iCs/>
          <w:sz w:val="24"/>
          <w:szCs w:val="24"/>
        </w:rPr>
      </w:pPr>
      <w:r w:rsidRPr="00CD4C64">
        <w:rPr>
          <w:rFonts w:ascii="Times New Roman" w:eastAsia="Times New Roman" w:hAnsi="Times New Roman" w:cs="Times New Roman"/>
          <w:i/>
          <w:sz w:val="24"/>
          <w:szCs w:val="24"/>
        </w:rPr>
        <w:t xml:space="preserve">Meinecke v. H. &amp;R Block of Houston, </w:t>
      </w:r>
      <w:r w:rsidRPr="00CD4C64">
        <w:rPr>
          <w:rFonts w:ascii="Times New Roman" w:eastAsia="Times New Roman" w:hAnsi="Times New Roman" w:cs="Times New Roman"/>
          <w:iCs/>
          <w:sz w:val="24"/>
          <w:szCs w:val="24"/>
        </w:rPr>
        <w:t>6 F.3d 7 (5th Cir. 1995)</w:t>
      </w:r>
    </w:p>
    <w:p w14:paraId="144D68D2" w14:textId="77777777" w:rsidR="007E143C" w:rsidRPr="00CD4C64" w:rsidRDefault="007E143C" w:rsidP="007E143C">
      <w:pPr>
        <w:pStyle w:val="BodyText"/>
        <w:spacing w:before="28" w:line="480" w:lineRule="auto"/>
        <w:rPr>
          <w:rFonts w:ascii="Times New Roman" w:eastAsia="Times New Roman" w:hAnsi="Times New Roman" w:cs="Times New Roman"/>
          <w:i/>
          <w:sz w:val="24"/>
          <w:szCs w:val="24"/>
        </w:rPr>
      </w:pPr>
      <w:r w:rsidRPr="00CD4C64">
        <w:rPr>
          <w:rFonts w:ascii="Times New Roman" w:eastAsia="Times New Roman" w:hAnsi="Times New Roman" w:cs="Times New Roman"/>
          <w:i/>
          <w:sz w:val="24"/>
          <w:szCs w:val="24"/>
        </w:rPr>
        <w:t xml:space="preserve">Palasota v. Haggar Clothing, Inc., </w:t>
      </w:r>
      <w:r w:rsidRPr="00CD4C64">
        <w:rPr>
          <w:rFonts w:ascii="Times New Roman" w:eastAsia="Times New Roman" w:hAnsi="Times New Roman" w:cs="Times New Roman"/>
          <w:iCs/>
          <w:sz w:val="24"/>
          <w:szCs w:val="24"/>
        </w:rPr>
        <w:t>342 F.3d 569 (5th Cir. 2003)</w:t>
      </w:r>
      <w:r w:rsidRPr="00CD4C64">
        <w:rPr>
          <w:rFonts w:ascii="Times New Roman" w:eastAsia="Times New Roman" w:hAnsi="Times New Roman" w:cs="Times New Roman"/>
          <w:i/>
          <w:sz w:val="24"/>
          <w:szCs w:val="24"/>
        </w:rPr>
        <w:t xml:space="preserve"> </w:t>
      </w:r>
    </w:p>
    <w:p w14:paraId="3A6DD21D" w14:textId="77777777" w:rsidR="007E143C" w:rsidRPr="00CD4C64" w:rsidRDefault="007E143C" w:rsidP="007E143C">
      <w:pPr>
        <w:pStyle w:val="BodyText"/>
        <w:spacing w:before="28" w:line="480" w:lineRule="auto"/>
        <w:rPr>
          <w:rFonts w:ascii="Times New Roman" w:eastAsia="Times New Roman" w:hAnsi="Times New Roman" w:cs="Times New Roman"/>
          <w:i/>
          <w:sz w:val="24"/>
          <w:szCs w:val="24"/>
        </w:rPr>
      </w:pPr>
      <w:r w:rsidRPr="00CD4C64">
        <w:rPr>
          <w:rFonts w:ascii="Times New Roman" w:eastAsia="Times New Roman" w:hAnsi="Times New Roman" w:cs="Times New Roman"/>
          <w:i/>
          <w:sz w:val="24"/>
          <w:szCs w:val="24"/>
        </w:rPr>
        <w:t xml:space="preserve">Pilcher v. Cont'l Elecs. Corp., </w:t>
      </w:r>
      <w:r w:rsidRPr="00CD4C64">
        <w:rPr>
          <w:rFonts w:ascii="Times New Roman" w:eastAsia="Times New Roman" w:hAnsi="Times New Roman" w:cs="Times New Roman"/>
          <w:iCs/>
          <w:sz w:val="24"/>
          <w:szCs w:val="24"/>
        </w:rPr>
        <w:t>121 F.3d 703 (5th Cir. 1997)</w:t>
      </w:r>
      <w:r w:rsidRPr="00CD4C64">
        <w:rPr>
          <w:rFonts w:ascii="Times New Roman" w:eastAsia="Times New Roman" w:hAnsi="Times New Roman" w:cs="Times New Roman"/>
          <w:i/>
          <w:sz w:val="24"/>
          <w:szCs w:val="24"/>
        </w:rPr>
        <w:t xml:space="preserve"> </w:t>
      </w:r>
    </w:p>
    <w:p w14:paraId="1DDC99A3" w14:textId="77777777" w:rsidR="007E143C" w:rsidRPr="00CD4C64" w:rsidRDefault="007E143C" w:rsidP="007E143C">
      <w:pPr>
        <w:pStyle w:val="BodyText"/>
        <w:spacing w:before="28" w:line="480" w:lineRule="auto"/>
        <w:rPr>
          <w:rFonts w:ascii="Times New Roman" w:eastAsia="Times New Roman" w:hAnsi="Times New Roman" w:cs="Times New Roman"/>
          <w:i/>
          <w:sz w:val="24"/>
          <w:szCs w:val="24"/>
        </w:rPr>
      </w:pPr>
      <w:r w:rsidRPr="00CD4C64">
        <w:rPr>
          <w:rFonts w:ascii="Times New Roman" w:eastAsia="Times New Roman" w:hAnsi="Times New Roman" w:cs="Times New Roman"/>
          <w:i/>
          <w:sz w:val="24"/>
          <w:szCs w:val="24"/>
        </w:rPr>
        <w:t xml:space="preserve">Rachid v. Jack in the Box, Inc., </w:t>
      </w:r>
      <w:r w:rsidRPr="00CD4C64">
        <w:rPr>
          <w:rFonts w:ascii="Times New Roman" w:eastAsia="Times New Roman" w:hAnsi="Times New Roman" w:cs="Times New Roman"/>
          <w:iCs/>
          <w:sz w:val="24"/>
          <w:szCs w:val="24"/>
        </w:rPr>
        <w:t>376 F.3d 305 (5th Cir. 2004)</w:t>
      </w:r>
    </w:p>
    <w:p w14:paraId="0E0167E3" w14:textId="32FED576" w:rsidR="007E143C" w:rsidRPr="00CD4C64" w:rsidRDefault="007E143C" w:rsidP="007E143C">
      <w:pPr>
        <w:pStyle w:val="BodyText"/>
        <w:spacing w:before="28" w:line="480" w:lineRule="auto"/>
        <w:rPr>
          <w:rFonts w:ascii="Times New Roman" w:eastAsia="Times New Roman" w:hAnsi="Times New Roman" w:cs="Times New Roman"/>
          <w:iCs/>
          <w:sz w:val="24"/>
          <w:szCs w:val="24"/>
        </w:rPr>
      </w:pPr>
      <w:r w:rsidRPr="00CD4C64">
        <w:rPr>
          <w:rFonts w:ascii="Times New Roman" w:eastAsia="Times New Roman" w:hAnsi="Times New Roman" w:cs="Times New Roman"/>
          <w:i/>
          <w:sz w:val="24"/>
          <w:szCs w:val="24"/>
        </w:rPr>
        <w:t xml:space="preserve">Reeves v. Sanderson Plumbing Prods, Inc., </w:t>
      </w:r>
      <w:r w:rsidRPr="00CD4C64">
        <w:rPr>
          <w:rFonts w:ascii="Times New Roman" w:eastAsia="Times New Roman" w:hAnsi="Times New Roman" w:cs="Times New Roman"/>
          <w:iCs/>
          <w:sz w:val="24"/>
          <w:szCs w:val="24"/>
        </w:rPr>
        <w:t>530 U.S. 133 (2000)</w:t>
      </w:r>
    </w:p>
    <w:p w14:paraId="66FB2051" w14:textId="1907FF75" w:rsidR="007E143C" w:rsidRPr="00CD4C64" w:rsidRDefault="007E143C" w:rsidP="007E143C">
      <w:pPr>
        <w:pStyle w:val="BodyText"/>
        <w:spacing w:before="28" w:line="480" w:lineRule="auto"/>
        <w:rPr>
          <w:rFonts w:ascii="Times New Roman" w:eastAsia="Times New Roman" w:hAnsi="Times New Roman" w:cs="Times New Roman"/>
          <w:i/>
          <w:sz w:val="24"/>
          <w:szCs w:val="24"/>
        </w:rPr>
      </w:pPr>
      <w:r w:rsidRPr="00CD4C64">
        <w:rPr>
          <w:rFonts w:ascii="Times New Roman" w:eastAsia="Times New Roman" w:hAnsi="Times New Roman" w:cs="Times New Roman"/>
          <w:i/>
          <w:sz w:val="24"/>
          <w:szCs w:val="24"/>
        </w:rPr>
        <w:t xml:space="preserve">Roberson. v All Tech., </w:t>
      </w:r>
      <w:r w:rsidRPr="00CD4C64">
        <w:rPr>
          <w:rFonts w:ascii="Times New Roman" w:eastAsia="Times New Roman" w:hAnsi="Times New Roman" w:cs="Times New Roman"/>
          <w:iCs/>
          <w:sz w:val="24"/>
          <w:szCs w:val="24"/>
        </w:rPr>
        <w:t>373 F.3d 647 (5th Cir. 2004)</w:t>
      </w:r>
    </w:p>
    <w:p w14:paraId="4B13ADC0" w14:textId="77777777" w:rsidR="007E143C" w:rsidRPr="00CD4C64" w:rsidRDefault="007E143C" w:rsidP="007E143C">
      <w:pPr>
        <w:pStyle w:val="BodyText"/>
        <w:spacing w:before="28" w:line="480" w:lineRule="auto"/>
        <w:rPr>
          <w:rFonts w:ascii="Times New Roman" w:eastAsia="Times New Roman" w:hAnsi="Times New Roman" w:cs="Times New Roman"/>
          <w:i/>
          <w:sz w:val="24"/>
          <w:szCs w:val="24"/>
        </w:rPr>
      </w:pPr>
      <w:r w:rsidRPr="00CD4C64">
        <w:rPr>
          <w:rFonts w:ascii="Times New Roman" w:eastAsia="Times New Roman" w:hAnsi="Times New Roman" w:cs="Times New Roman"/>
          <w:i/>
          <w:sz w:val="24"/>
          <w:szCs w:val="24"/>
        </w:rPr>
        <w:t xml:space="preserve">Russell v. McKinney Hosp. Venture, </w:t>
      </w:r>
      <w:r w:rsidRPr="00CD4C64">
        <w:rPr>
          <w:rFonts w:ascii="Times New Roman" w:eastAsia="Times New Roman" w:hAnsi="Times New Roman" w:cs="Times New Roman"/>
          <w:iCs/>
          <w:sz w:val="24"/>
          <w:szCs w:val="24"/>
        </w:rPr>
        <w:t>235 F.3d 219 (5th Cir. 2000)</w:t>
      </w:r>
    </w:p>
    <w:p w14:paraId="1E8B1867" w14:textId="59145B97" w:rsidR="007E143C" w:rsidRPr="00CD4C64" w:rsidRDefault="007E143C" w:rsidP="007E143C">
      <w:pPr>
        <w:pStyle w:val="BodyText"/>
        <w:spacing w:before="28" w:line="480" w:lineRule="auto"/>
        <w:rPr>
          <w:rFonts w:ascii="Times New Roman" w:eastAsia="Times New Roman" w:hAnsi="Times New Roman" w:cs="Times New Roman"/>
          <w:i/>
          <w:sz w:val="24"/>
          <w:szCs w:val="24"/>
        </w:rPr>
      </w:pPr>
      <w:r w:rsidRPr="00CD4C64">
        <w:rPr>
          <w:rFonts w:ascii="Times New Roman" w:eastAsia="Times New Roman" w:hAnsi="Times New Roman" w:cs="Times New Roman"/>
          <w:i/>
          <w:sz w:val="24"/>
          <w:szCs w:val="24"/>
        </w:rPr>
        <w:t xml:space="preserve">Sandsadt. v CB Richard Ellis, Inc., 309 F.3d 893 (5th Cir. 2002) </w:t>
      </w:r>
    </w:p>
    <w:p w14:paraId="33529FEB" w14:textId="03CDB6D8" w:rsidR="00CD4C64" w:rsidRPr="00CD4C64" w:rsidRDefault="00CD4C64" w:rsidP="007E143C">
      <w:pPr>
        <w:pStyle w:val="BodyText"/>
        <w:spacing w:before="28" w:line="480" w:lineRule="auto"/>
        <w:rPr>
          <w:rFonts w:ascii="Times New Roman" w:eastAsia="Times New Roman" w:hAnsi="Times New Roman" w:cs="Times New Roman"/>
          <w:i/>
          <w:sz w:val="24"/>
          <w:szCs w:val="24"/>
        </w:rPr>
      </w:pPr>
      <w:r w:rsidRPr="00CD4C64">
        <w:rPr>
          <w:rFonts w:ascii="Times New Roman" w:eastAsia="Times New Roman" w:hAnsi="Times New Roman" w:cs="Times New Roman"/>
          <w:i/>
          <w:sz w:val="24"/>
          <w:szCs w:val="24"/>
        </w:rPr>
        <w:t xml:space="preserve">Tex. </w:t>
      </w:r>
      <w:proofErr w:type="spellStart"/>
      <w:r w:rsidRPr="00CD4C64">
        <w:rPr>
          <w:rFonts w:ascii="Times New Roman" w:eastAsia="Times New Roman" w:hAnsi="Times New Roman" w:cs="Times New Roman"/>
          <w:i/>
          <w:sz w:val="24"/>
          <w:szCs w:val="24"/>
        </w:rPr>
        <w:t>Dep’t</w:t>
      </w:r>
      <w:proofErr w:type="spellEnd"/>
      <w:r w:rsidRPr="00CD4C64">
        <w:rPr>
          <w:rFonts w:ascii="Times New Roman" w:eastAsia="Times New Roman" w:hAnsi="Times New Roman" w:cs="Times New Roman"/>
          <w:i/>
          <w:sz w:val="24"/>
          <w:szCs w:val="24"/>
        </w:rPr>
        <w:t xml:space="preserve"> of </w:t>
      </w:r>
      <w:proofErr w:type="spellStart"/>
      <w:r w:rsidRPr="00CD4C64">
        <w:rPr>
          <w:rFonts w:ascii="Times New Roman" w:eastAsia="Times New Roman" w:hAnsi="Times New Roman" w:cs="Times New Roman"/>
          <w:i/>
          <w:sz w:val="24"/>
          <w:szCs w:val="24"/>
        </w:rPr>
        <w:t>Cmty</w:t>
      </w:r>
      <w:proofErr w:type="spellEnd"/>
      <w:r w:rsidRPr="00CD4C64">
        <w:rPr>
          <w:rFonts w:ascii="Times New Roman" w:eastAsia="Times New Roman" w:hAnsi="Times New Roman" w:cs="Times New Roman"/>
          <w:i/>
          <w:sz w:val="24"/>
          <w:szCs w:val="24"/>
        </w:rPr>
        <w:t>. Affairs v. Burdine</w:t>
      </w:r>
      <w:r w:rsidRPr="00CD4C64">
        <w:rPr>
          <w:rFonts w:ascii="Times New Roman" w:eastAsia="Times New Roman" w:hAnsi="Times New Roman" w:cs="Times New Roman"/>
          <w:sz w:val="24"/>
          <w:szCs w:val="24"/>
        </w:rPr>
        <w:t>, 450 U.S. 248, 253 (1981)</w:t>
      </w:r>
    </w:p>
    <w:p w14:paraId="65862C81" w14:textId="77777777" w:rsidR="007E143C" w:rsidRDefault="007E143C" w:rsidP="007E143C">
      <w:pPr>
        <w:pStyle w:val="Heading2"/>
        <w:ind w:left="0" w:firstLine="0"/>
        <w:rPr>
          <w:rFonts w:ascii="Times New Roman" w:hAnsi="Times New Roman" w:cs="Times New Roman"/>
          <w:spacing w:val="-2"/>
        </w:rPr>
      </w:pPr>
    </w:p>
    <w:p w14:paraId="1A3F4F22" w14:textId="19E64C56" w:rsidR="001E2F2B" w:rsidRDefault="001E2F2B" w:rsidP="007E143C">
      <w:pPr>
        <w:pStyle w:val="Heading2"/>
        <w:ind w:left="0" w:firstLine="0"/>
        <w:rPr>
          <w:rFonts w:ascii="Times New Roman" w:hAnsi="Times New Roman" w:cs="Times New Roman"/>
          <w:spacing w:val="-2"/>
        </w:rPr>
      </w:pPr>
      <w:r w:rsidRPr="00E11C45">
        <w:rPr>
          <w:rFonts w:ascii="Times New Roman" w:hAnsi="Times New Roman" w:cs="Times New Roman"/>
          <w:spacing w:val="-2"/>
        </w:rPr>
        <w:t>Statutes</w:t>
      </w:r>
    </w:p>
    <w:p w14:paraId="085B9A25" w14:textId="77777777" w:rsidR="007E143C" w:rsidRDefault="007E143C" w:rsidP="007E143C">
      <w:pPr>
        <w:pStyle w:val="BodyText"/>
        <w:rPr>
          <w:rFonts w:ascii="Times New Roman" w:hAnsi="Times New Roman" w:cs="Times New Roman"/>
        </w:rPr>
      </w:pPr>
    </w:p>
    <w:p w14:paraId="09CB7863" w14:textId="363773A0" w:rsidR="001E2F2B" w:rsidRPr="00E11C45" w:rsidRDefault="001E2F2B" w:rsidP="007E143C">
      <w:pPr>
        <w:pStyle w:val="BodyText"/>
        <w:rPr>
          <w:rFonts w:ascii="Times New Roman" w:hAnsi="Times New Roman" w:cs="Times New Roman"/>
        </w:rPr>
      </w:pPr>
      <w:r w:rsidRPr="00E11C45">
        <w:rPr>
          <w:rFonts w:ascii="Times New Roman" w:hAnsi="Times New Roman" w:cs="Times New Roman"/>
        </w:rPr>
        <w:t>Age</w:t>
      </w:r>
      <w:r w:rsidRPr="00E11C45">
        <w:rPr>
          <w:rFonts w:ascii="Times New Roman" w:hAnsi="Times New Roman" w:cs="Times New Roman"/>
          <w:spacing w:val="-6"/>
        </w:rPr>
        <w:t xml:space="preserve"> </w:t>
      </w:r>
      <w:r w:rsidRPr="00E11C45">
        <w:rPr>
          <w:rFonts w:ascii="Times New Roman" w:hAnsi="Times New Roman" w:cs="Times New Roman"/>
        </w:rPr>
        <w:t>Discrimination</w:t>
      </w:r>
      <w:r w:rsidRPr="00E11C45">
        <w:rPr>
          <w:rFonts w:ascii="Times New Roman" w:hAnsi="Times New Roman" w:cs="Times New Roman"/>
          <w:spacing w:val="-5"/>
        </w:rPr>
        <w:t xml:space="preserve"> </w:t>
      </w:r>
      <w:r w:rsidRPr="00E11C45">
        <w:rPr>
          <w:rFonts w:ascii="Times New Roman" w:hAnsi="Times New Roman" w:cs="Times New Roman"/>
        </w:rPr>
        <w:t>in</w:t>
      </w:r>
      <w:r w:rsidRPr="00E11C45">
        <w:rPr>
          <w:rFonts w:ascii="Times New Roman" w:hAnsi="Times New Roman" w:cs="Times New Roman"/>
          <w:spacing w:val="-5"/>
        </w:rPr>
        <w:t xml:space="preserve"> </w:t>
      </w:r>
      <w:r w:rsidRPr="00E11C45">
        <w:rPr>
          <w:rFonts w:ascii="Times New Roman" w:hAnsi="Times New Roman" w:cs="Times New Roman"/>
        </w:rPr>
        <w:t>Employment</w:t>
      </w:r>
      <w:r w:rsidRPr="00E11C45">
        <w:rPr>
          <w:rFonts w:ascii="Times New Roman" w:hAnsi="Times New Roman" w:cs="Times New Roman"/>
          <w:spacing w:val="-5"/>
        </w:rPr>
        <w:t xml:space="preserve"> </w:t>
      </w:r>
      <w:r w:rsidRPr="00E11C45">
        <w:rPr>
          <w:rFonts w:ascii="Times New Roman" w:hAnsi="Times New Roman" w:cs="Times New Roman"/>
        </w:rPr>
        <w:t>Act,</w:t>
      </w:r>
      <w:r w:rsidRPr="00E11C45">
        <w:rPr>
          <w:rFonts w:ascii="Times New Roman" w:hAnsi="Times New Roman" w:cs="Times New Roman"/>
          <w:spacing w:val="-6"/>
        </w:rPr>
        <w:t xml:space="preserve"> </w:t>
      </w:r>
      <w:r w:rsidRPr="00E11C45">
        <w:rPr>
          <w:rFonts w:ascii="Times New Roman" w:hAnsi="Times New Roman" w:cs="Times New Roman"/>
        </w:rPr>
        <w:t>29</w:t>
      </w:r>
      <w:r w:rsidRPr="00E11C45">
        <w:rPr>
          <w:rFonts w:ascii="Times New Roman" w:hAnsi="Times New Roman" w:cs="Times New Roman"/>
          <w:spacing w:val="-5"/>
        </w:rPr>
        <w:t xml:space="preserve"> </w:t>
      </w:r>
      <w:r w:rsidRPr="00E11C45">
        <w:rPr>
          <w:rFonts w:ascii="Times New Roman" w:hAnsi="Times New Roman" w:cs="Times New Roman"/>
        </w:rPr>
        <w:t>U.S.C.</w:t>
      </w:r>
      <w:r w:rsidRPr="00E11C45">
        <w:rPr>
          <w:rFonts w:ascii="Times New Roman" w:hAnsi="Times New Roman" w:cs="Times New Roman"/>
          <w:spacing w:val="-5"/>
        </w:rPr>
        <w:t xml:space="preserve"> </w:t>
      </w:r>
      <w:r w:rsidRPr="00E11C45">
        <w:rPr>
          <w:rFonts w:ascii="Times New Roman" w:hAnsi="Times New Roman" w:cs="Times New Roman"/>
        </w:rPr>
        <w:t>§</w:t>
      </w:r>
      <w:r w:rsidRPr="00E11C45">
        <w:rPr>
          <w:rFonts w:ascii="Times New Roman" w:hAnsi="Times New Roman" w:cs="Times New Roman"/>
          <w:spacing w:val="-5"/>
        </w:rPr>
        <w:t xml:space="preserve"> </w:t>
      </w:r>
      <w:r w:rsidRPr="00E11C45">
        <w:rPr>
          <w:rFonts w:ascii="Times New Roman" w:hAnsi="Times New Roman" w:cs="Times New Roman"/>
          <w:spacing w:val="-2"/>
        </w:rPr>
        <w:t>623(a)</w:t>
      </w:r>
    </w:p>
    <w:p w14:paraId="0F536DCC" w14:textId="77777777" w:rsidR="001E2F2B" w:rsidRPr="001E2F2B" w:rsidRDefault="001E2F2B" w:rsidP="001E2F2B">
      <w:pPr>
        <w:spacing w:line="276" w:lineRule="auto"/>
        <w:sectPr w:rsidR="001E2F2B" w:rsidRPr="001E2F2B">
          <w:pgSz w:w="12240" w:h="15840"/>
          <w:pgMar w:top="1820" w:right="1080" w:bottom="280" w:left="1080" w:header="720" w:footer="720" w:gutter="0"/>
          <w:cols w:space="720"/>
        </w:sectPr>
      </w:pPr>
    </w:p>
    <w:p w14:paraId="0EA7D167" w14:textId="77777777" w:rsidR="000117AD" w:rsidRPr="00E11C45" w:rsidRDefault="00000000">
      <w:pPr>
        <w:spacing w:before="63"/>
        <w:ind w:left="2345" w:right="2523"/>
        <w:jc w:val="center"/>
        <w:rPr>
          <w:sz w:val="23"/>
        </w:rPr>
      </w:pPr>
      <w:r w:rsidRPr="00E11C45">
        <w:rPr>
          <w:sz w:val="23"/>
        </w:rPr>
        <w:lastRenderedPageBreak/>
        <w:t>IN THE UNITED STATES COURT OF APPEALS FOR THE</w:t>
      </w:r>
    </w:p>
    <w:p w14:paraId="571908ED" w14:textId="77777777" w:rsidR="000117AD" w:rsidRPr="00E11C45" w:rsidRDefault="00000000">
      <w:pPr>
        <w:spacing w:line="264" w:lineRule="exact"/>
        <w:ind w:right="160"/>
        <w:jc w:val="center"/>
        <w:rPr>
          <w:sz w:val="23"/>
        </w:rPr>
      </w:pPr>
      <w:r w:rsidRPr="00E11C45">
        <w:rPr>
          <w:sz w:val="23"/>
        </w:rPr>
        <w:t>FIFTH</w:t>
      </w:r>
      <w:r w:rsidRPr="00E11C45">
        <w:rPr>
          <w:spacing w:val="17"/>
          <w:sz w:val="23"/>
        </w:rPr>
        <w:t xml:space="preserve"> </w:t>
      </w:r>
      <w:r w:rsidRPr="00E11C45">
        <w:rPr>
          <w:spacing w:val="-2"/>
          <w:sz w:val="23"/>
        </w:rPr>
        <w:t>CIRCUIT</w:t>
      </w:r>
    </w:p>
    <w:p w14:paraId="767841E3" w14:textId="77777777" w:rsidR="000117AD" w:rsidRPr="00E11C45" w:rsidRDefault="000117AD">
      <w:pPr>
        <w:pStyle w:val="BodyText"/>
        <w:rPr>
          <w:rFonts w:ascii="Times New Roman" w:hAnsi="Times New Roman" w:cs="Times New Roman"/>
          <w:sz w:val="20"/>
        </w:rPr>
      </w:pPr>
    </w:p>
    <w:p w14:paraId="7E84A0D7" w14:textId="77777777" w:rsidR="000117AD" w:rsidRPr="00E11C45" w:rsidRDefault="000117AD">
      <w:pPr>
        <w:pStyle w:val="BodyText"/>
        <w:rPr>
          <w:rFonts w:ascii="Times New Roman" w:hAnsi="Times New Roman" w:cs="Times New Roman"/>
          <w:sz w:val="20"/>
        </w:rPr>
      </w:pPr>
    </w:p>
    <w:p w14:paraId="411B5037" w14:textId="77777777" w:rsidR="000117AD" w:rsidRPr="00E11C45" w:rsidRDefault="000117AD">
      <w:pPr>
        <w:pStyle w:val="BodyText"/>
        <w:rPr>
          <w:rFonts w:ascii="Times New Roman" w:hAnsi="Times New Roman" w:cs="Times New Roman"/>
          <w:sz w:val="20"/>
        </w:rPr>
      </w:pPr>
    </w:p>
    <w:p w14:paraId="4FE12E6A" w14:textId="77777777" w:rsidR="000117AD" w:rsidRPr="00E11C45" w:rsidRDefault="000117AD">
      <w:pPr>
        <w:pStyle w:val="BodyText"/>
        <w:spacing w:before="93"/>
        <w:rPr>
          <w:rFonts w:ascii="Times New Roman" w:hAnsi="Times New Roman" w:cs="Times New Roman"/>
          <w:sz w:val="20"/>
        </w:rPr>
      </w:pPr>
    </w:p>
    <w:p w14:paraId="0CBE6995" w14:textId="77777777" w:rsidR="000117AD" w:rsidRPr="00E11C45" w:rsidRDefault="000117AD">
      <w:pPr>
        <w:pStyle w:val="BodyText"/>
        <w:rPr>
          <w:rFonts w:ascii="Times New Roman" w:hAnsi="Times New Roman" w:cs="Times New Roman"/>
          <w:sz w:val="20"/>
        </w:rPr>
        <w:sectPr w:rsidR="000117AD" w:rsidRPr="00E11C45">
          <w:pgSz w:w="12240" w:h="15840"/>
          <w:pgMar w:top="1320" w:right="1080" w:bottom="280" w:left="1080" w:header="720" w:footer="720" w:gutter="0"/>
          <w:cols w:space="720"/>
        </w:sectPr>
      </w:pPr>
    </w:p>
    <w:p w14:paraId="7FE54122" w14:textId="77777777" w:rsidR="000117AD" w:rsidRPr="00E11C45" w:rsidRDefault="00000000">
      <w:pPr>
        <w:spacing w:before="91"/>
        <w:ind w:left="669"/>
        <w:rPr>
          <w:sz w:val="23"/>
        </w:rPr>
      </w:pPr>
      <w:r w:rsidRPr="00E11C45">
        <w:rPr>
          <w:sz w:val="23"/>
        </w:rPr>
        <w:t>EDWARD</w:t>
      </w:r>
      <w:r w:rsidRPr="00E11C45">
        <w:rPr>
          <w:spacing w:val="16"/>
          <w:sz w:val="23"/>
        </w:rPr>
        <w:t xml:space="preserve"> </w:t>
      </w:r>
      <w:r w:rsidRPr="00E11C45">
        <w:t>J.</w:t>
      </w:r>
      <w:r w:rsidRPr="00E11C45">
        <w:rPr>
          <w:spacing w:val="-2"/>
        </w:rPr>
        <w:t xml:space="preserve"> </w:t>
      </w:r>
      <w:r w:rsidRPr="00E11C45">
        <w:rPr>
          <w:spacing w:val="-2"/>
          <w:sz w:val="23"/>
        </w:rPr>
        <w:t>MOGAN,</w:t>
      </w:r>
    </w:p>
    <w:p w14:paraId="1900A48C" w14:textId="77777777" w:rsidR="000117AD" w:rsidRPr="00E11C45" w:rsidRDefault="000117AD">
      <w:pPr>
        <w:pStyle w:val="BodyText"/>
        <w:spacing w:before="21"/>
        <w:rPr>
          <w:rFonts w:ascii="Times New Roman" w:hAnsi="Times New Roman" w:cs="Times New Roman"/>
          <w:sz w:val="23"/>
        </w:rPr>
      </w:pPr>
    </w:p>
    <w:p w14:paraId="48B5579D" w14:textId="77777777" w:rsidR="000117AD" w:rsidRPr="00E11C45" w:rsidRDefault="00000000">
      <w:pPr>
        <w:ind w:left="2096"/>
        <w:rPr>
          <w:sz w:val="23"/>
        </w:rPr>
      </w:pPr>
      <w:r w:rsidRPr="00E11C45">
        <w:rPr>
          <w:spacing w:val="-2"/>
          <w:sz w:val="23"/>
        </w:rPr>
        <w:t>Appellant,</w:t>
      </w:r>
    </w:p>
    <w:p w14:paraId="6FEF0A2F" w14:textId="77777777" w:rsidR="000117AD" w:rsidRPr="00E11C45" w:rsidRDefault="000117AD">
      <w:pPr>
        <w:pStyle w:val="BodyText"/>
        <w:spacing w:before="28"/>
        <w:rPr>
          <w:rFonts w:ascii="Times New Roman" w:hAnsi="Times New Roman" w:cs="Times New Roman"/>
          <w:sz w:val="23"/>
        </w:rPr>
      </w:pPr>
    </w:p>
    <w:p w14:paraId="40669959" w14:textId="77777777" w:rsidR="000117AD" w:rsidRPr="00E11C45" w:rsidRDefault="00000000">
      <w:pPr>
        <w:ind w:left="676"/>
        <w:rPr>
          <w:sz w:val="23"/>
        </w:rPr>
      </w:pPr>
      <w:r w:rsidRPr="00E11C45">
        <w:rPr>
          <w:spacing w:val="-5"/>
          <w:sz w:val="23"/>
        </w:rPr>
        <w:t>v.</w:t>
      </w:r>
    </w:p>
    <w:p w14:paraId="3B15B0F1" w14:textId="77777777" w:rsidR="000117AD" w:rsidRPr="00E11C45" w:rsidRDefault="000117AD">
      <w:pPr>
        <w:pStyle w:val="BodyText"/>
        <w:spacing w:before="18"/>
        <w:rPr>
          <w:rFonts w:ascii="Times New Roman" w:hAnsi="Times New Roman" w:cs="Times New Roman"/>
          <w:sz w:val="23"/>
        </w:rPr>
      </w:pPr>
    </w:p>
    <w:p w14:paraId="4A31DD93" w14:textId="77777777" w:rsidR="000117AD" w:rsidRPr="00E11C45" w:rsidRDefault="00000000">
      <w:pPr>
        <w:ind w:left="676"/>
        <w:rPr>
          <w:sz w:val="23"/>
        </w:rPr>
      </w:pPr>
      <w:r w:rsidRPr="00E11C45">
        <w:rPr>
          <w:sz w:val="23"/>
        </w:rPr>
        <w:t>ARCHITRONICS,</w:t>
      </w:r>
      <w:r w:rsidRPr="00E11C45">
        <w:rPr>
          <w:spacing w:val="50"/>
          <w:sz w:val="23"/>
        </w:rPr>
        <w:t xml:space="preserve"> </w:t>
      </w:r>
      <w:r w:rsidRPr="00E11C45">
        <w:rPr>
          <w:spacing w:val="-4"/>
          <w:sz w:val="23"/>
        </w:rPr>
        <w:t>INC,</w:t>
      </w:r>
    </w:p>
    <w:p w14:paraId="760E29F0" w14:textId="77777777" w:rsidR="000117AD" w:rsidRPr="00E11C45" w:rsidRDefault="000117AD">
      <w:pPr>
        <w:pStyle w:val="BodyText"/>
        <w:spacing w:before="13"/>
        <w:rPr>
          <w:rFonts w:ascii="Times New Roman" w:hAnsi="Times New Roman" w:cs="Times New Roman"/>
          <w:sz w:val="23"/>
        </w:rPr>
      </w:pPr>
    </w:p>
    <w:p w14:paraId="186BDEB7" w14:textId="77777777" w:rsidR="000117AD" w:rsidRPr="00E11C45" w:rsidRDefault="00000000">
      <w:pPr>
        <w:spacing w:before="1"/>
        <w:ind w:left="2107"/>
        <w:rPr>
          <w:sz w:val="23"/>
        </w:rPr>
      </w:pPr>
      <w:r w:rsidRPr="00E11C45">
        <w:rPr>
          <w:spacing w:val="-2"/>
          <w:sz w:val="23"/>
        </w:rPr>
        <w:t>Appellee.</w:t>
      </w:r>
    </w:p>
    <w:p w14:paraId="7D4BD5FD" w14:textId="77777777" w:rsidR="000117AD" w:rsidRPr="00E11C45" w:rsidRDefault="00000000">
      <w:pPr>
        <w:spacing w:before="91"/>
        <w:ind w:left="670"/>
        <w:rPr>
          <w:sz w:val="23"/>
        </w:rPr>
      </w:pPr>
      <w:r w:rsidRPr="00E11C45">
        <w:br w:type="column"/>
      </w:r>
      <w:r w:rsidRPr="00E11C45">
        <w:rPr>
          <w:spacing w:val="-10"/>
          <w:w w:val="105"/>
          <w:sz w:val="23"/>
        </w:rPr>
        <w:t>)</w:t>
      </w:r>
    </w:p>
    <w:p w14:paraId="615D3E00" w14:textId="659AE6AF" w:rsidR="000117AD" w:rsidRPr="00E11C45" w:rsidRDefault="00000000">
      <w:pPr>
        <w:spacing w:before="4" w:line="244" w:lineRule="auto"/>
        <w:ind w:left="672" w:right="4983" w:hanging="3"/>
        <w:rPr>
          <w:sz w:val="23"/>
        </w:rPr>
      </w:pPr>
      <w:r w:rsidRPr="00E11C45">
        <w:rPr>
          <w:spacing w:val="-10"/>
          <w:sz w:val="23"/>
        </w:rPr>
        <w:t xml:space="preserve">) </w:t>
      </w:r>
      <w:r w:rsidR="00E37D4F">
        <w:rPr>
          <w:spacing w:val="-10"/>
          <w:sz w:val="23"/>
        </w:rPr>
        <w:t>)</w:t>
      </w:r>
    </w:p>
    <w:p w14:paraId="51205FD7" w14:textId="77777777" w:rsidR="000117AD" w:rsidRPr="00E11C45" w:rsidRDefault="00000000">
      <w:pPr>
        <w:tabs>
          <w:tab w:val="left" w:pos="2109"/>
        </w:tabs>
        <w:spacing w:line="258" w:lineRule="exact"/>
        <w:ind w:left="673"/>
        <w:rPr>
          <w:sz w:val="23"/>
        </w:rPr>
      </w:pPr>
      <w:r w:rsidRPr="00E11C45">
        <w:rPr>
          <w:spacing w:val="-10"/>
          <w:sz w:val="23"/>
        </w:rPr>
        <w:t>)</w:t>
      </w:r>
      <w:r w:rsidRPr="00E11C45">
        <w:rPr>
          <w:sz w:val="23"/>
        </w:rPr>
        <w:tab/>
        <w:t>Docket</w:t>
      </w:r>
      <w:r w:rsidRPr="00E11C45">
        <w:rPr>
          <w:spacing w:val="27"/>
          <w:sz w:val="23"/>
        </w:rPr>
        <w:t xml:space="preserve"> </w:t>
      </w:r>
      <w:r w:rsidRPr="00E11C45">
        <w:rPr>
          <w:sz w:val="23"/>
        </w:rPr>
        <w:t>No.</w:t>
      </w:r>
      <w:r w:rsidRPr="00E11C45">
        <w:rPr>
          <w:spacing w:val="18"/>
          <w:sz w:val="23"/>
        </w:rPr>
        <w:t xml:space="preserve"> </w:t>
      </w:r>
      <w:r w:rsidRPr="00E11C45">
        <w:rPr>
          <w:sz w:val="23"/>
        </w:rPr>
        <w:t>25-</w:t>
      </w:r>
      <w:r w:rsidRPr="00E11C45">
        <w:rPr>
          <w:spacing w:val="-4"/>
          <w:sz w:val="23"/>
        </w:rPr>
        <w:t>0320</w:t>
      </w:r>
    </w:p>
    <w:p w14:paraId="62098CC7" w14:textId="77777777" w:rsidR="000117AD" w:rsidRPr="00E11C45" w:rsidRDefault="00000000">
      <w:pPr>
        <w:spacing w:before="9"/>
        <w:ind w:left="677"/>
        <w:rPr>
          <w:sz w:val="23"/>
        </w:rPr>
      </w:pPr>
      <w:r w:rsidRPr="00E11C45">
        <w:rPr>
          <w:spacing w:val="-10"/>
          <w:w w:val="105"/>
          <w:sz w:val="23"/>
        </w:rPr>
        <w:t>)</w:t>
      </w:r>
    </w:p>
    <w:p w14:paraId="236A87AF" w14:textId="77777777" w:rsidR="000117AD" w:rsidRPr="00E11C45" w:rsidRDefault="00000000">
      <w:pPr>
        <w:spacing w:before="5"/>
        <w:ind w:left="677"/>
        <w:rPr>
          <w:sz w:val="23"/>
        </w:rPr>
      </w:pPr>
      <w:r w:rsidRPr="00E11C45">
        <w:rPr>
          <w:spacing w:val="-10"/>
          <w:w w:val="105"/>
          <w:sz w:val="23"/>
        </w:rPr>
        <w:t>)</w:t>
      </w:r>
    </w:p>
    <w:p w14:paraId="48E412CD" w14:textId="77777777" w:rsidR="000117AD" w:rsidRPr="00E11C45" w:rsidRDefault="00000000">
      <w:pPr>
        <w:spacing w:before="9"/>
        <w:ind w:left="681"/>
      </w:pPr>
      <w:r w:rsidRPr="00E11C45">
        <w:rPr>
          <w:spacing w:val="-10"/>
          <w:sz w:val="22"/>
        </w:rPr>
        <w:t>)</w:t>
      </w:r>
    </w:p>
    <w:p w14:paraId="70B20E39" w14:textId="77777777" w:rsidR="000117AD" w:rsidRPr="00E11C45" w:rsidRDefault="00000000">
      <w:pPr>
        <w:spacing w:before="6"/>
        <w:ind w:left="681"/>
        <w:rPr>
          <w:sz w:val="23"/>
        </w:rPr>
      </w:pPr>
      <w:r w:rsidRPr="00E11C45">
        <w:rPr>
          <w:spacing w:val="-10"/>
          <w:w w:val="105"/>
          <w:sz w:val="23"/>
        </w:rPr>
        <w:t>)</w:t>
      </w:r>
    </w:p>
    <w:p w14:paraId="79D8930B" w14:textId="77777777" w:rsidR="000117AD" w:rsidRPr="00E11C45" w:rsidRDefault="00000000">
      <w:pPr>
        <w:spacing w:before="4"/>
        <w:ind w:left="684"/>
        <w:rPr>
          <w:sz w:val="23"/>
        </w:rPr>
      </w:pPr>
      <w:r w:rsidRPr="00E11C45">
        <w:rPr>
          <w:spacing w:val="-10"/>
          <w:w w:val="105"/>
          <w:sz w:val="23"/>
        </w:rPr>
        <w:t>)</w:t>
      </w:r>
    </w:p>
    <w:p w14:paraId="048E143F" w14:textId="77777777" w:rsidR="000117AD" w:rsidRPr="00E11C45" w:rsidRDefault="000117AD">
      <w:pPr>
        <w:rPr>
          <w:sz w:val="23"/>
        </w:rPr>
        <w:sectPr w:rsidR="000117AD" w:rsidRPr="00E11C45">
          <w:type w:val="continuous"/>
          <w:pgSz w:w="12240" w:h="15840"/>
          <w:pgMar w:top="1820" w:right="1080" w:bottom="280" w:left="1080" w:header="720" w:footer="720" w:gutter="0"/>
          <w:cols w:num="2" w:space="720" w:equalWidth="0">
            <w:col w:w="3128" w:space="1172"/>
            <w:col w:w="5780"/>
          </w:cols>
        </w:sectPr>
      </w:pPr>
    </w:p>
    <w:p w14:paraId="59AB631E" w14:textId="77777777" w:rsidR="000117AD" w:rsidRPr="00E11C45" w:rsidRDefault="000117AD">
      <w:pPr>
        <w:pStyle w:val="BodyText"/>
        <w:rPr>
          <w:rFonts w:ascii="Times New Roman" w:hAnsi="Times New Roman" w:cs="Times New Roman"/>
          <w:sz w:val="23"/>
        </w:rPr>
      </w:pPr>
    </w:p>
    <w:p w14:paraId="4CBE0125" w14:textId="77777777" w:rsidR="00E37D4F" w:rsidRDefault="00E37D4F" w:rsidP="00E37D4F">
      <w:pPr>
        <w:rPr>
          <w:b/>
          <w:w w:val="105"/>
          <w:sz w:val="23"/>
        </w:rPr>
      </w:pPr>
    </w:p>
    <w:p w14:paraId="12D6DFD2" w14:textId="77777777" w:rsidR="000117AD" w:rsidRDefault="00000000" w:rsidP="00E37D4F">
      <w:pPr>
        <w:jc w:val="center"/>
        <w:rPr>
          <w:b/>
          <w:spacing w:val="-2"/>
          <w:w w:val="105"/>
          <w:sz w:val="23"/>
          <w:u w:val="single"/>
        </w:rPr>
      </w:pPr>
      <w:r w:rsidRPr="00E37D4F">
        <w:rPr>
          <w:b/>
          <w:w w:val="105"/>
          <w:sz w:val="23"/>
          <w:u w:val="single"/>
        </w:rPr>
        <w:t>BRIEF O</w:t>
      </w:r>
      <w:r w:rsidR="0046662B" w:rsidRPr="00E37D4F">
        <w:rPr>
          <w:b/>
          <w:w w:val="105"/>
          <w:sz w:val="23"/>
          <w:u w:val="single"/>
        </w:rPr>
        <w:t xml:space="preserve">F </w:t>
      </w:r>
      <w:r w:rsidRPr="00E37D4F">
        <w:rPr>
          <w:b/>
          <w:spacing w:val="-2"/>
          <w:w w:val="105"/>
          <w:sz w:val="23"/>
          <w:u w:val="single"/>
        </w:rPr>
        <w:t>APPELLANT</w:t>
      </w:r>
      <w:r w:rsidRPr="00E37D4F">
        <w:rPr>
          <w:b/>
          <w:spacing w:val="-14"/>
          <w:w w:val="105"/>
          <w:sz w:val="23"/>
          <w:u w:val="single"/>
        </w:rPr>
        <w:t xml:space="preserve"> </w:t>
      </w:r>
      <w:r w:rsidRPr="00E37D4F">
        <w:rPr>
          <w:b/>
          <w:spacing w:val="-2"/>
          <w:w w:val="105"/>
          <w:sz w:val="23"/>
          <w:u w:val="single"/>
        </w:rPr>
        <w:t>EDWARD</w:t>
      </w:r>
      <w:r w:rsidRPr="00E37D4F">
        <w:rPr>
          <w:b/>
          <w:spacing w:val="-13"/>
          <w:w w:val="105"/>
          <w:sz w:val="23"/>
          <w:u w:val="single"/>
        </w:rPr>
        <w:t xml:space="preserve"> </w:t>
      </w:r>
      <w:r w:rsidRPr="00E37D4F">
        <w:rPr>
          <w:b/>
          <w:spacing w:val="-2"/>
          <w:w w:val="105"/>
          <w:sz w:val="23"/>
          <w:u w:val="single"/>
        </w:rPr>
        <w:t>J.</w:t>
      </w:r>
      <w:r w:rsidRPr="00E37D4F">
        <w:rPr>
          <w:b/>
          <w:spacing w:val="-16"/>
          <w:w w:val="105"/>
          <w:sz w:val="23"/>
          <w:u w:val="single"/>
        </w:rPr>
        <w:t xml:space="preserve"> </w:t>
      </w:r>
      <w:r w:rsidRPr="00E37D4F">
        <w:rPr>
          <w:b/>
          <w:spacing w:val="-2"/>
          <w:w w:val="105"/>
          <w:sz w:val="23"/>
          <w:u w:val="single"/>
        </w:rPr>
        <w:t>MORG</w:t>
      </w:r>
      <w:r w:rsidR="0046662B" w:rsidRPr="00E37D4F">
        <w:rPr>
          <w:b/>
          <w:spacing w:val="-2"/>
          <w:w w:val="105"/>
          <w:sz w:val="23"/>
          <w:u w:val="single"/>
        </w:rPr>
        <w:t>A</w:t>
      </w:r>
      <w:r w:rsidR="00E37D4F">
        <w:rPr>
          <w:b/>
          <w:spacing w:val="-2"/>
          <w:w w:val="105"/>
          <w:sz w:val="23"/>
          <w:u w:val="single"/>
        </w:rPr>
        <w:t>N</w:t>
      </w:r>
    </w:p>
    <w:p w14:paraId="7B510BD4" w14:textId="77777777" w:rsidR="00E37D4F" w:rsidRDefault="00E37D4F" w:rsidP="00E37D4F">
      <w:pPr>
        <w:jc w:val="center"/>
        <w:rPr>
          <w:b/>
          <w:spacing w:val="-2"/>
          <w:w w:val="105"/>
          <w:sz w:val="23"/>
          <w:u w:val="single"/>
        </w:rPr>
      </w:pPr>
    </w:p>
    <w:p w14:paraId="7CA73412" w14:textId="77777777" w:rsidR="00E37D4F" w:rsidRDefault="00E37D4F" w:rsidP="00E37D4F">
      <w:pPr>
        <w:jc w:val="center"/>
        <w:rPr>
          <w:b/>
          <w:spacing w:val="-2"/>
          <w:w w:val="105"/>
          <w:sz w:val="23"/>
          <w:u w:val="single"/>
        </w:rPr>
      </w:pPr>
    </w:p>
    <w:p w14:paraId="5F8D78DC" w14:textId="77777777" w:rsidR="00E37D4F" w:rsidRDefault="00E37D4F" w:rsidP="00E37D4F">
      <w:pPr>
        <w:jc w:val="center"/>
        <w:rPr>
          <w:b/>
          <w:spacing w:val="-2"/>
          <w:w w:val="105"/>
          <w:sz w:val="23"/>
          <w:u w:val="single"/>
        </w:rPr>
      </w:pPr>
    </w:p>
    <w:p w14:paraId="49E473F7" w14:textId="77777777" w:rsidR="00E37D4F" w:rsidRDefault="00E37D4F" w:rsidP="00E37D4F">
      <w:pPr>
        <w:jc w:val="center"/>
        <w:rPr>
          <w:b/>
          <w:spacing w:val="-2"/>
          <w:w w:val="105"/>
          <w:sz w:val="23"/>
          <w:u w:val="single"/>
        </w:rPr>
      </w:pPr>
    </w:p>
    <w:p w14:paraId="0173CD36" w14:textId="77777777" w:rsidR="00E37D4F" w:rsidRPr="0086330D" w:rsidRDefault="00E37D4F" w:rsidP="00FC51F3">
      <w:pPr>
        <w:pStyle w:val="Heading1"/>
        <w:spacing w:before="270" w:line="480" w:lineRule="auto"/>
        <w:ind w:left="0"/>
        <w:rPr>
          <w:rFonts w:ascii="Times New Roman" w:hAnsi="Times New Roman" w:cs="Times New Roman"/>
          <w:sz w:val="24"/>
          <w:szCs w:val="24"/>
        </w:rPr>
      </w:pPr>
      <w:r w:rsidRPr="0086330D">
        <w:rPr>
          <w:rFonts w:ascii="Times New Roman" w:hAnsi="Times New Roman" w:cs="Times New Roman"/>
          <w:sz w:val="24"/>
          <w:szCs w:val="24"/>
        </w:rPr>
        <w:t>STATEMENT</w:t>
      </w:r>
      <w:r w:rsidRPr="0086330D">
        <w:rPr>
          <w:rFonts w:ascii="Times New Roman" w:hAnsi="Times New Roman" w:cs="Times New Roman"/>
          <w:spacing w:val="-6"/>
          <w:sz w:val="24"/>
          <w:szCs w:val="24"/>
        </w:rPr>
        <w:t xml:space="preserve"> </w:t>
      </w:r>
      <w:r w:rsidRPr="0086330D">
        <w:rPr>
          <w:rFonts w:ascii="Times New Roman" w:hAnsi="Times New Roman" w:cs="Times New Roman"/>
          <w:sz w:val="24"/>
          <w:szCs w:val="24"/>
        </w:rPr>
        <w:t>OF</w:t>
      </w:r>
      <w:r w:rsidRPr="0086330D">
        <w:rPr>
          <w:rFonts w:ascii="Times New Roman" w:hAnsi="Times New Roman" w:cs="Times New Roman"/>
          <w:spacing w:val="-5"/>
          <w:sz w:val="24"/>
          <w:szCs w:val="24"/>
        </w:rPr>
        <w:t xml:space="preserve"> </w:t>
      </w:r>
      <w:r w:rsidRPr="0086330D">
        <w:rPr>
          <w:rFonts w:ascii="Times New Roman" w:hAnsi="Times New Roman" w:cs="Times New Roman"/>
          <w:spacing w:val="-2"/>
          <w:sz w:val="24"/>
          <w:szCs w:val="24"/>
        </w:rPr>
        <w:t>FACTS</w:t>
      </w:r>
    </w:p>
    <w:p w14:paraId="35522C85" w14:textId="75E7CA30" w:rsidR="005242C0" w:rsidRPr="00FF3E2C" w:rsidRDefault="005242C0" w:rsidP="00CD34F9">
      <w:pPr>
        <w:pStyle w:val="NormalWeb"/>
        <w:spacing w:line="480" w:lineRule="auto"/>
        <w:ind w:firstLine="720"/>
        <w:rPr>
          <w:color w:val="000000"/>
        </w:rPr>
      </w:pPr>
      <w:r w:rsidRPr="00FF3E2C">
        <w:rPr>
          <w:color w:val="000000"/>
        </w:rPr>
        <w:t>Edward J. Morgan (“Morgan”)</w:t>
      </w:r>
      <w:r w:rsidR="00CD34F9" w:rsidRPr="00FF3E2C">
        <w:rPr>
          <w:color w:val="000000"/>
        </w:rPr>
        <w:t xml:space="preserve">, age 57, </w:t>
      </w:r>
      <w:r w:rsidRPr="00FF3E2C">
        <w:rPr>
          <w:color w:val="000000"/>
        </w:rPr>
        <w:t xml:space="preserve">dedicated more than three decades of his career to Architronics, Inc. (“Architronics”), a Texas-based corporation specializing in architectural design and consulting. R. at 2. Morgan began his employment with the company over a decade ago, </w:t>
      </w:r>
      <w:r w:rsidR="00CD34F9" w:rsidRPr="00FF3E2C">
        <w:rPr>
          <w:color w:val="000000"/>
        </w:rPr>
        <w:t xml:space="preserve">working with the company’s founder and </w:t>
      </w:r>
      <w:r w:rsidRPr="00FF3E2C">
        <w:rPr>
          <w:color w:val="000000"/>
        </w:rPr>
        <w:t xml:space="preserve">advancing over time to a senior-level designer specialist position. R. at </w:t>
      </w:r>
      <w:r w:rsidR="00CD34F9" w:rsidRPr="00FF3E2C">
        <w:rPr>
          <w:color w:val="000000"/>
        </w:rPr>
        <w:t>25</w:t>
      </w:r>
      <w:r w:rsidRPr="00FF3E2C">
        <w:rPr>
          <w:color w:val="000000"/>
        </w:rPr>
        <w:t xml:space="preserve">. His personnel evaluations throughout </w:t>
      </w:r>
      <w:proofErr w:type="gramStart"/>
      <w:r w:rsidRPr="00FF3E2C">
        <w:rPr>
          <w:color w:val="000000"/>
        </w:rPr>
        <w:t>the majority of</w:t>
      </w:r>
      <w:proofErr w:type="gramEnd"/>
      <w:r w:rsidRPr="00FF3E2C">
        <w:rPr>
          <w:color w:val="000000"/>
        </w:rPr>
        <w:t xml:space="preserve"> his career </w:t>
      </w:r>
      <w:r w:rsidR="00CD34F9" w:rsidRPr="00FF3E2C">
        <w:rPr>
          <w:color w:val="000000"/>
        </w:rPr>
        <w:t>were “excellent” reflecting</w:t>
      </w:r>
      <w:r w:rsidRPr="00FF3E2C">
        <w:rPr>
          <w:color w:val="000000"/>
        </w:rPr>
        <w:t xml:space="preserve"> consistent </w:t>
      </w:r>
      <w:r w:rsidR="00CD34F9" w:rsidRPr="00FF3E2C">
        <w:rPr>
          <w:color w:val="000000"/>
        </w:rPr>
        <w:t>competency</w:t>
      </w:r>
      <w:r w:rsidRPr="00FF3E2C">
        <w:rPr>
          <w:color w:val="000000"/>
        </w:rPr>
        <w:t>. R. at</w:t>
      </w:r>
      <w:r w:rsidR="00CD34F9" w:rsidRPr="00FF3E2C">
        <w:rPr>
          <w:color w:val="000000"/>
        </w:rPr>
        <w:t xml:space="preserve"> 14</w:t>
      </w:r>
      <w:r w:rsidRPr="00FF3E2C">
        <w:rPr>
          <w:color w:val="000000"/>
        </w:rPr>
        <w:t>.</w:t>
      </w:r>
      <w:r w:rsidR="00CD34F9" w:rsidRPr="00FF3E2C">
        <w:rPr>
          <w:color w:val="000000"/>
        </w:rPr>
        <w:t xml:space="preserve"> Morgan even received special accolades from Henry Baker (“Baker”), </w:t>
      </w:r>
      <w:r w:rsidR="00CD34F9" w:rsidRPr="00FF3E2C">
        <w:t xml:space="preserve">president of Architronics, Inc., regarding his outstanding performance and abilities pertaining to customer relations. </w:t>
      </w:r>
      <w:r w:rsidR="00CD34F9" w:rsidRPr="00FF3E2C">
        <w:rPr>
          <w:i/>
          <w:iCs/>
        </w:rPr>
        <w:t>Id.</w:t>
      </w:r>
      <w:r w:rsidR="00CD34F9" w:rsidRPr="00FF3E2C">
        <w:t xml:space="preserve"> </w:t>
      </w:r>
    </w:p>
    <w:p w14:paraId="2C82BA7E" w14:textId="0B12DC26" w:rsidR="005242C0" w:rsidRPr="00FF3E2C" w:rsidRDefault="005242C0" w:rsidP="005242C0">
      <w:pPr>
        <w:pStyle w:val="NormalWeb"/>
        <w:spacing w:line="480" w:lineRule="auto"/>
        <w:ind w:firstLine="720"/>
        <w:rPr>
          <w:color w:val="000000"/>
        </w:rPr>
      </w:pPr>
      <w:r w:rsidRPr="00FF3E2C">
        <w:rPr>
          <w:color w:val="000000"/>
        </w:rPr>
        <w:t xml:space="preserve">As Architronics began pursuing new business, upper management initiated a restructuring process designed to shift the company away from older technology platforms and toward a new generation of </w:t>
      </w:r>
      <w:r w:rsidR="00CD34F9" w:rsidRPr="00FF3E2C">
        <w:rPr>
          <w:color w:val="000000"/>
        </w:rPr>
        <w:t>Computer Assisted Design (“CAD”)</w:t>
      </w:r>
      <w:r w:rsidRPr="00FF3E2C">
        <w:rPr>
          <w:color w:val="000000"/>
        </w:rPr>
        <w:t xml:space="preserve"> systems. R. at</w:t>
      </w:r>
      <w:r w:rsidR="00CD34F9" w:rsidRPr="00FF3E2C">
        <w:rPr>
          <w:color w:val="000000"/>
        </w:rPr>
        <w:t xml:space="preserve"> 12</w:t>
      </w:r>
      <w:r w:rsidRPr="00FF3E2C">
        <w:rPr>
          <w:color w:val="000000"/>
        </w:rPr>
        <w:t xml:space="preserve">. This restructuring included </w:t>
      </w:r>
      <w:r w:rsidRPr="00FF3E2C">
        <w:rPr>
          <w:color w:val="000000"/>
        </w:rPr>
        <w:lastRenderedPageBreak/>
        <w:t xml:space="preserve">workforce reassignments, selective performance reevaluations, and increased emphasis on rapid adaptation to newly introduced software tools. </w:t>
      </w:r>
      <w:r w:rsidR="00CD34F9" w:rsidRPr="00FF3E2C">
        <w:rPr>
          <w:i/>
          <w:iCs/>
          <w:color w:val="000000"/>
        </w:rPr>
        <w:t>Id.</w:t>
      </w:r>
    </w:p>
    <w:p w14:paraId="2E3934E3" w14:textId="680071E6" w:rsidR="005242C0" w:rsidRPr="00FF3E2C" w:rsidRDefault="005242C0" w:rsidP="005242C0">
      <w:pPr>
        <w:pStyle w:val="NormalWeb"/>
        <w:spacing w:line="480" w:lineRule="auto"/>
        <w:ind w:firstLine="720"/>
        <w:rPr>
          <w:color w:val="000000"/>
        </w:rPr>
      </w:pPr>
      <w:r w:rsidRPr="00FF3E2C">
        <w:rPr>
          <w:color w:val="000000"/>
        </w:rPr>
        <w:t xml:space="preserve">In the years preceding his termination, Morgan reported to a supervisor who expressed repeated concerns about Morgan’s ability to transition into emerging technological specialties at the same pace as younger engineers. R. at </w:t>
      </w:r>
      <w:r w:rsidR="00B847AF" w:rsidRPr="00FF3E2C">
        <w:rPr>
          <w:color w:val="000000"/>
        </w:rPr>
        <w:t>28.</w:t>
      </w:r>
      <w:r w:rsidRPr="00FF3E2C">
        <w:rPr>
          <w:color w:val="000000"/>
        </w:rPr>
        <w:t xml:space="preserve"> In meetings throughout this reorganization period, the supervisor made comments to Morgan contrasting him with younger workers who the supervisor </w:t>
      </w:r>
      <w:r w:rsidR="00B847AF" w:rsidRPr="00FF3E2C">
        <w:rPr>
          <w:color w:val="000000"/>
        </w:rPr>
        <w:t>believed</w:t>
      </w:r>
      <w:r w:rsidRPr="00FF3E2C">
        <w:rPr>
          <w:color w:val="000000"/>
        </w:rPr>
        <w:t xml:space="preserve"> were more up to speed on new engineering software and picked up the new systems faster. R. at </w:t>
      </w:r>
      <w:r w:rsidR="00B847AF" w:rsidRPr="00FF3E2C">
        <w:rPr>
          <w:color w:val="000000"/>
        </w:rPr>
        <w:t>28</w:t>
      </w:r>
      <w:r w:rsidRPr="00FF3E2C">
        <w:rPr>
          <w:color w:val="000000"/>
        </w:rPr>
        <w:t>. These remarks</w:t>
      </w:r>
      <w:r w:rsidR="00B847AF" w:rsidRPr="00FF3E2C">
        <w:rPr>
          <w:color w:val="000000"/>
        </w:rPr>
        <w:t xml:space="preserve">, such as referring to Morgan’s methods as “the old way” of doing things and emphasizing that decisions would soon be made by “people who weren’t around when protractors were invented,” </w:t>
      </w:r>
      <w:r w:rsidRPr="00FF3E2C">
        <w:rPr>
          <w:color w:val="000000"/>
        </w:rPr>
        <w:t xml:space="preserve">intensified </w:t>
      </w:r>
      <w:r w:rsidR="00B847AF" w:rsidRPr="00FF3E2C">
        <w:rPr>
          <w:color w:val="000000"/>
        </w:rPr>
        <w:t>leading up to</w:t>
      </w:r>
      <w:r w:rsidRPr="00FF3E2C">
        <w:rPr>
          <w:color w:val="000000"/>
        </w:rPr>
        <w:t xml:space="preserve"> the introduction of </w:t>
      </w:r>
      <w:r w:rsidR="00B847AF" w:rsidRPr="00FF3E2C">
        <w:rPr>
          <w:color w:val="000000"/>
        </w:rPr>
        <w:t xml:space="preserve">the new CAD system and Morgan’s termination. </w:t>
      </w:r>
    </w:p>
    <w:p w14:paraId="63AEBC62" w14:textId="4AA4FE76" w:rsidR="005242C0" w:rsidRPr="00FF3E2C" w:rsidRDefault="005242C0" w:rsidP="005242C0">
      <w:pPr>
        <w:pStyle w:val="NormalWeb"/>
        <w:spacing w:line="480" w:lineRule="auto"/>
        <w:ind w:firstLine="720"/>
        <w:rPr>
          <w:color w:val="000000"/>
        </w:rPr>
      </w:pPr>
      <w:r w:rsidRPr="00FF3E2C">
        <w:rPr>
          <w:color w:val="000000"/>
        </w:rPr>
        <w:t xml:space="preserve">During this transition period, Architronics offered Morgan a lateral transfer opportunity </w:t>
      </w:r>
      <w:r w:rsidR="00B847AF" w:rsidRPr="00FF3E2C">
        <w:rPr>
          <w:color w:val="000000"/>
        </w:rPr>
        <w:t xml:space="preserve">to a different branch </w:t>
      </w:r>
      <w:r w:rsidRPr="00FF3E2C">
        <w:rPr>
          <w:color w:val="000000"/>
        </w:rPr>
        <w:t>that would have required relocation to a different facility</w:t>
      </w:r>
      <w:r w:rsidR="00B847AF" w:rsidRPr="00FF3E2C">
        <w:rPr>
          <w:color w:val="000000"/>
        </w:rPr>
        <w:t xml:space="preserve"> and a demotion in title</w:t>
      </w:r>
      <w:r w:rsidRPr="00FF3E2C">
        <w:rPr>
          <w:color w:val="000000"/>
        </w:rPr>
        <w:t xml:space="preserve">. R. at </w:t>
      </w:r>
      <w:r w:rsidR="00B847AF" w:rsidRPr="00FF3E2C">
        <w:rPr>
          <w:color w:val="000000"/>
        </w:rPr>
        <w:t>26</w:t>
      </w:r>
      <w:r w:rsidRPr="00FF3E2C">
        <w:rPr>
          <w:color w:val="000000"/>
        </w:rPr>
        <w:t xml:space="preserve">. Morgan informed his supervisor that the proposed relocation was not feasible given his longstanding family </w:t>
      </w:r>
      <w:r w:rsidR="00B847AF" w:rsidRPr="00FF3E2C">
        <w:rPr>
          <w:color w:val="000000"/>
        </w:rPr>
        <w:t xml:space="preserve">ties </w:t>
      </w:r>
      <w:r w:rsidRPr="00FF3E2C">
        <w:rPr>
          <w:color w:val="000000"/>
        </w:rPr>
        <w:t xml:space="preserve">and caregiving responsibilities in </w:t>
      </w:r>
      <w:r w:rsidR="00B847AF" w:rsidRPr="00FF3E2C">
        <w:rPr>
          <w:color w:val="000000"/>
        </w:rPr>
        <w:t>Corpus Christi</w:t>
      </w:r>
      <w:r w:rsidRPr="00FF3E2C">
        <w:rPr>
          <w:color w:val="000000"/>
        </w:rPr>
        <w:t xml:space="preserve">. R. at </w:t>
      </w:r>
      <w:r w:rsidR="00B847AF" w:rsidRPr="00FF3E2C">
        <w:rPr>
          <w:color w:val="000000"/>
        </w:rPr>
        <w:t>16</w:t>
      </w:r>
      <w:r w:rsidRPr="00FF3E2C">
        <w:rPr>
          <w:color w:val="000000"/>
        </w:rPr>
        <w:t>. The company did not offer a remote or hybrid alternative, and Morgan remained in his existing position</w:t>
      </w:r>
      <w:r w:rsidR="00B847AF" w:rsidRPr="00FF3E2C">
        <w:rPr>
          <w:color w:val="000000"/>
        </w:rPr>
        <w:t xml:space="preserve"> until termination</w:t>
      </w:r>
      <w:r w:rsidRPr="00FF3E2C">
        <w:rPr>
          <w:color w:val="000000"/>
        </w:rPr>
        <w:t xml:space="preserve">. R. at </w:t>
      </w:r>
      <w:r w:rsidR="00B847AF" w:rsidRPr="00FF3E2C">
        <w:rPr>
          <w:color w:val="000000"/>
        </w:rPr>
        <w:t>26</w:t>
      </w:r>
      <w:r w:rsidRPr="00FF3E2C">
        <w:rPr>
          <w:color w:val="000000"/>
        </w:rPr>
        <w:t>.</w:t>
      </w:r>
      <w:r w:rsidR="00B847AF" w:rsidRPr="00FF3E2C">
        <w:rPr>
          <w:color w:val="000000"/>
        </w:rPr>
        <w:t xml:space="preserve"> </w:t>
      </w:r>
    </w:p>
    <w:p w14:paraId="0E1C19EA" w14:textId="05005829" w:rsidR="00E37D4F" w:rsidRPr="00FF3E2C" w:rsidRDefault="005242C0" w:rsidP="005242C0">
      <w:pPr>
        <w:pStyle w:val="NormalWeb"/>
        <w:spacing w:line="480" w:lineRule="auto"/>
        <w:ind w:firstLine="720"/>
        <w:rPr>
          <w:color w:val="000000"/>
        </w:rPr>
      </w:pPr>
      <w:r w:rsidRPr="00FF3E2C">
        <w:rPr>
          <w:color w:val="000000"/>
        </w:rPr>
        <w:t>Morgan subsequently filed a complaint with the Equal Employment Opportunity Commission alleging that he was terminated because of his age in violation of the Age Discrimination in Employment Act (“ADEA”)</w:t>
      </w:r>
      <w:r w:rsidR="0041709B" w:rsidRPr="00FF3E2C">
        <w:rPr>
          <w:color w:val="000000"/>
        </w:rPr>
        <w:t xml:space="preserve"> and </w:t>
      </w:r>
      <w:r w:rsidRPr="00FF3E2C">
        <w:rPr>
          <w:color w:val="000000"/>
        </w:rPr>
        <w:t xml:space="preserve">receiving a right-to-sue notice, he filed suit in the United States District Court for the Southern District of Texas. R. at </w:t>
      </w:r>
      <w:r w:rsidR="0041709B" w:rsidRPr="00FF3E2C">
        <w:rPr>
          <w:color w:val="000000"/>
        </w:rPr>
        <w:t>1</w:t>
      </w:r>
      <w:r w:rsidRPr="00FF3E2C">
        <w:rPr>
          <w:color w:val="000000"/>
        </w:rPr>
        <w:t xml:space="preserve">. The district court granted Architronics’s motion for summary judgment. R. at </w:t>
      </w:r>
      <w:r w:rsidR="0041709B" w:rsidRPr="00FF3E2C">
        <w:rPr>
          <w:color w:val="000000"/>
        </w:rPr>
        <w:t>40</w:t>
      </w:r>
      <w:r w:rsidRPr="00FF3E2C">
        <w:rPr>
          <w:color w:val="000000"/>
        </w:rPr>
        <w:t xml:space="preserve">. The court concluded that Morgan had not produced sufficient evidence of pretext or </w:t>
      </w:r>
      <w:proofErr w:type="spellStart"/>
      <w:r w:rsidRPr="00FF3E2C">
        <w:rPr>
          <w:color w:val="000000"/>
        </w:rPr>
        <w:t>but</w:t>
      </w:r>
      <w:proofErr w:type="spellEnd"/>
      <w:r w:rsidRPr="00FF3E2C">
        <w:rPr>
          <w:color w:val="000000"/>
        </w:rPr>
        <w:t>-for causation under the federal age discrimination framework</w:t>
      </w:r>
      <w:r w:rsidR="0041709B" w:rsidRPr="00FF3E2C">
        <w:rPr>
          <w:color w:val="000000"/>
        </w:rPr>
        <w:t xml:space="preserve">. </w:t>
      </w:r>
      <w:r w:rsidR="0041709B" w:rsidRPr="00FF3E2C">
        <w:rPr>
          <w:i/>
          <w:iCs/>
          <w:color w:val="000000"/>
        </w:rPr>
        <w:t>Id</w:t>
      </w:r>
      <w:r w:rsidR="0041709B" w:rsidRPr="00FF3E2C">
        <w:rPr>
          <w:color w:val="000000"/>
        </w:rPr>
        <w:t xml:space="preserve">. </w:t>
      </w:r>
      <w:r w:rsidRPr="00FF3E2C">
        <w:rPr>
          <w:color w:val="000000"/>
        </w:rPr>
        <w:t>This appeal follow</w:t>
      </w:r>
      <w:r w:rsidR="0041709B" w:rsidRPr="00FF3E2C">
        <w:rPr>
          <w:color w:val="000000"/>
        </w:rPr>
        <w:t>s</w:t>
      </w:r>
      <w:r w:rsidRPr="00FF3E2C">
        <w:rPr>
          <w:color w:val="000000"/>
        </w:rPr>
        <w:t xml:space="preserve">. </w:t>
      </w:r>
    </w:p>
    <w:p w14:paraId="2D722317" w14:textId="77777777" w:rsidR="00021407" w:rsidRDefault="00021407" w:rsidP="005242C0">
      <w:pPr>
        <w:pStyle w:val="Heading1"/>
        <w:spacing w:before="78" w:line="480" w:lineRule="auto"/>
        <w:ind w:left="0"/>
        <w:rPr>
          <w:rFonts w:ascii="Times New Roman" w:hAnsi="Times New Roman" w:cs="Times New Roman"/>
          <w:sz w:val="24"/>
          <w:szCs w:val="24"/>
        </w:rPr>
      </w:pPr>
    </w:p>
    <w:p w14:paraId="6447DF60" w14:textId="77777777" w:rsidR="00021407" w:rsidRDefault="00021407" w:rsidP="005242C0">
      <w:pPr>
        <w:pStyle w:val="Heading1"/>
        <w:spacing w:before="78" w:line="480" w:lineRule="auto"/>
        <w:ind w:left="0"/>
        <w:rPr>
          <w:rFonts w:ascii="Times New Roman" w:hAnsi="Times New Roman" w:cs="Times New Roman"/>
          <w:sz w:val="24"/>
          <w:szCs w:val="24"/>
        </w:rPr>
      </w:pPr>
    </w:p>
    <w:p w14:paraId="0BD6FE91" w14:textId="1FF3BA89" w:rsidR="00E37D4F" w:rsidRPr="0086330D" w:rsidRDefault="00E37D4F" w:rsidP="005242C0">
      <w:pPr>
        <w:pStyle w:val="Heading1"/>
        <w:spacing w:before="78" w:line="480" w:lineRule="auto"/>
        <w:ind w:left="0"/>
        <w:rPr>
          <w:rFonts w:ascii="Times New Roman" w:hAnsi="Times New Roman" w:cs="Times New Roman"/>
          <w:sz w:val="24"/>
          <w:szCs w:val="24"/>
        </w:rPr>
      </w:pPr>
      <w:r w:rsidRPr="0086330D">
        <w:rPr>
          <w:rFonts w:ascii="Times New Roman" w:hAnsi="Times New Roman" w:cs="Times New Roman"/>
          <w:sz w:val="24"/>
          <w:szCs w:val="24"/>
        </w:rPr>
        <w:t>SUMMARY</w:t>
      </w:r>
      <w:r w:rsidRPr="0086330D">
        <w:rPr>
          <w:rFonts w:ascii="Times New Roman" w:hAnsi="Times New Roman" w:cs="Times New Roman"/>
          <w:spacing w:val="-4"/>
          <w:sz w:val="24"/>
          <w:szCs w:val="24"/>
        </w:rPr>
        <w:t xml:space="preserve"> </w:t>
      </w:r>
      <w:r w:rsidRPr="0086330D">
        <w:rPr>
          <w:rFonts w:ascii="Times New Roman" w:hAnsi="Times New Roman" w:cs="Times New Roman"/>
          <w:sz w:val="24"/>
          <w:szCs w:val="24"/>
        </w:rPr>
        <w:t>OF</w:t>
      </w:r>
      <w:r w:rsidRPr="0086330D">
        <w:rPr>
          <w:rFonts w:ascii="Times New Roman" w:hAnsi="Times New Roman" w:cs="Times New Roman"/>
          <w:spacing w:val="-4"/>
          <w:sz w:val="24"/>
          <w:szCs w:val="24"/>
        </w:rPr>
        <w:t xml:space="preserve"> </w:t>
      </w:r>
      <w:r w:rsidRPr="0086330D">
        <w:rPr>
          <w:rFonts w:ascii="Times New Roman" w:hAnsi="Times New Roman" w:cs="Times New Roman"/>
          <w:sz w:val="24"/>
          <w:szCs w:val="24"/>
        </w:rPr>
        <w:t>THE</w:t>
      </w:r>
      <w:r w:rsidRPr="0086330D">
        <w:rPr>
          <w:rFonts w:ascii="Times New Roman" w:hAnsi="Times New Roman" w:cs="Times New Roman"/>
          <w:spacing w:val="-4"/>
          <w:sz w:val="24"/>
          <w:szCs w:val="24"/>
        </w:rPr>
        <w:t xml:space="preserve"> </w:t>
      </w:r>
      <w:r w:rsidRPr="0086330D">
        <w:rPr>
          <w:rFonts w:ascii="Times New Roman" w:hAnsi="Times New Roman" w:cs="Times New Roman"/>
          <w:spacing w:val="-2"/>
          <w:sz w:val="24"/>
          <w:szCs w:val="24"/>
        </w:rPr>
        <w:t>ARGUMENT</w:t>
      </w:r>
    </w:p>
    <w:p w14:paraId="6252CC5F" w14:textId="1EB4A562" w:rsidR="0041709B" w:rsidRPr="00FF3E2C" w:rsidRDefault="0041709B" w:rsidP="0041709B">
      <w:pPr>
        <w:pStyle w:val="NormalWeb"/>
        <w:spacing w:line="480" w:lineRule="auto"/>
        <w:ind w:firstLine="720"/>
        <w:rPr>
          <w:color w:val="000000"/>
        </w:rPr>
      </w:pPr>
      <w:r w:rsidRPr="00FF3E2C">
        <w:rPr>
          <w:color w:val="000000"/>
        </w:rPr>
        <w:t xml:space="preserve">The district court erred in granting summary judgment to Architronics. Under the ADEA and the McDonnell Douglas framework, a plaintiff who establishes a prima facie case and presents evidence that the employer’s stated reason is pretextual is entitled to reach a jury. </w:t>
      </w:r>
      <w:r w:rsidRPr="007E143C">
        <w:rPr>
          <w:i/>
          <w:iCs/>
          <w:color w:val="000000"/>
        </w:rPr>
        <w:t>Reeves v. Sanderson Plumbing Prods.</w:t>
      </w:r>
      <w:r w:rsidRPr="00FF3E2C">
        <w:rPr>
          <w:color w:val="000000"/>
        </w:rPr>
        <w:t xml:space="preserve">, Inc., 530 U.S. 133, 147–49 (2000). The Fifth Circuit repeatedly enforces that rule. </w:t>
      </w:r>
      <w:r w:rsidRPr="007E143C">
        <w:rPr>
          <w:i/>
          <w:iCs/>
          <w:color w:val="000000"/>
        </w:rPr>
        <w:t>Palasota v. Haggar Clothing Co.</w:t>
      </w:r>
      <w:r w:rsidRPr="00FF3E2C">
        <w:rPr>
          <w:color w:val="000000"/>
        </w:rPr>
        <w:t xml:space="preserve">, 342 F.3d 569, 577–79 (5th Cir. 2003); </w:t>
      </w:r>
      <w:r w:rsidRPr="007E143C">
        <w:rPr>
          <w:i/>
          <w:iCs/>
          <w:color w:val="000000"/>
        </w:rPr>
        <w:t>Russell v. McKinney Hosp. Venture,</w:t>
      </w:r>
      <w:r w:rsidRPr="00FF3E2C">
        <w:rPr>
          <w:color w:val="000000"/>
        </w:rPr>
        <w:t xml:space="preserve"> 235 F.3d 219, 223–26 (5th Cir. 2000</w:t>
      </w:r>
      <w:r w:rsidR="007E143C">
        <w:rPr>
          <w:color w:val="000000"/>
        </w:rPr>
        <w:t>).</w:t>
      </w:r>
    </w:p>
    <w:p w14:paraId="1D773ECB" w14:textId="72D03751" w:rsidR="0041709B" w:rsidRPr="00FF3E2C" w:rsidRDefault="0041709B" w:rsidP="0041709B">
      <w:pPr>
        <w:pStyle w:val="NormalWeb"/>
        <w:spacing w:line="480" w:lineRule="auto"/>
        <w:ind w:firstLine="720"/>
        <w:rPr>
          <w:color w:val="000000"/>
        </w:rPr>
      </w:pPr>
      <w:r w:rsidRPr="00FF3E2C">
        <w:rPr>
          <w:color w:val="000000"/>
        </w:rPr>
        <w:t>Morgan’s evidence permits a finding of</w:t>
      </w:r>
      <w:r w:rsidRPr="00FF3E2C">
        <w:rPr>
          <w:rStyle w:val="apple-converted-space"/>
          <w:color w:val="000000"/>
        </w:rPr>
        <w:t> </w:t>
      </w:r>
      <w:r w:rsidRPr="00FF3E2C">
        <w:rPr>
          <w:rStyle w:val="Strong"/>
          <w:b w:val="0"/>
          <w:bCs w:val="0"/>
          <w:color w:val="000000"/>
        </w:rPr>
        <w:t>pretext</w:t>
      </w:r>
      <w:r w:rsidRPr="00FF3E2C">
        <w:rPr>
          <w:rStyle w:val="apple-converted-space"/>
          <w:color w:val="000000"/>
        </w:rPr>
        <w:t> </w:t>
      </w:r>
      <w:r w:rsidRPr="00FF3E2C">
        <w:rPr>
          <w:color w:val="000000"/>
        </w:rPr>
        <w:t xml:space="preserve">for at least four reasons: first, the “elimination” rationale is contradicted by the continuation of his core duties and their transfer to a 32-year-old new hire; second, the sudden emergence of “performance” explanations after the charge was filed, without prior documentation, mirrors the post-hoc shifts this Court deems probative; third, age-linked remarks by decisionmakers were temporally and contextually tied to the restructuring and termination; and fourth, the terms of the purported transfer—a demotion with an unfeasible commute—were not a genuine alternative to separation (R. at __). </w:t>
      </w:r>
      <w:r w:rsidRPr="007E143C">
        <w:rPr>
          <w:i/>
          <w:iCs/>
          <w:color w:val="000000"/>
        </w:rPr>
        <w:t>Meinecke v. H. &amp; R. Block of Houston</w:t>
      </w:r>
      <w:r w:rsidRPr="00FF3E2C">
        <w:rPr>
          <w:color w:val="000000"/>
        </w:rPr>
        <w:t xml:space="preserve">, 6 F.3d 7, 12–13 (5th Cir. 1993); </w:t>
      </w:r>
      <w:r w:rsidRPr="007E143C">
        <w:rPr>
          <w:i/>
          <w:iCs/>
          <w:color w:val="000000"/>
        </w:rPr>
        <w:t>Pilcher v. Cont’l Elecs. Corp</w:t>
      </w:r>
      <w:r w:rsidRPr="00FF3E2C">
        <w:rPr>
          <w:color w:val="000000"/>
        </w:rPr>
        <w:t xml:space="preserve">., 121 F.3d 703, 706–08 (5th Cir. 1997); </w:t>
      </w:r>
      <w:r w:rsidRPr="007E143C">
        <w:rPr>
          <w:i/>
          <w:iCs/>
          <w:color w:val="000000"/>
        </w:rPr>
        <w:t>Sandstad v. CB Richard Ellis, Inc.,</w:t>
      </w:r>
      <w:r w:rsidRPr="00FF3E2C">
        <w:rPr>
          <w:color w:val="000000"/>
        </w:rPr>
        <w:t xml:space="preserve"> 309 F.3d 893, 899–901 (5th Cir. 2002); </w:t>
      </w:r>
      <w:r w:rsidRPr="007E143C">
        <w:rPr>
          <w:i/>
          <w:iCs/>
          <w:color w:val="000000"/>
        </w:rPr>
        <w:t>Machinchick v. PB Power, Inc.,</w:t>
      </w:r>
      <w:r w:rsidRPr="00FF3E2C">
        <w:rPr>
          <w:color w:val="000000"/>
        </w:rPr>
        <w:t xml:space="preserve"> 398 F.3d 345, 353–56 (5th Cir. 2005).</w:t>
      </w:r>
    </w:p>
    <w:p w14:paraId="02B0A2E7" w14:textId="057A56E9" w:rsidR="0041709B" w:rsidRPr="00FF3E2C" w:rsidRDefault="0041709B" w:rsidP="0041709B">
      <w:pPr>
        <w:pStyle w:val="NormalWeb"/>
        <w:spacing w:line="480" w:lineRule="auto"/>
        <w:ind w:firstLine="720"/>
        <w:rPr>
          <w:color w:val="000000"/>
        </w:rPr>
      </w:pPr>
      <w:r w:rsidRPr="00FF3E2C">
        <w:rPr>
          <w:color w:val="000000"/>
        </w:rPr>
        <w:t>The same record supports</w:t>
      </w:r>
      <w:r w:rsidRPr="00FF3E2C">
        <w:rPr>
          <w:rStyle w:val="apple-converted-space"/>
          <w:color w:val="000000"/>
        </w:rPr>
        <w:t> </w:t>
      </w:r>
      <w:r w:rsidRPr="00FF3E2C">
        <w:rPr>
          <w:rStyle w:val="Strong"/>
          <w:b w:val="0"/>
          <w:bCs w:val="0"/>
          <w:color w:val="000000"/>
        </w:rPr>
        <w:t>but-for causation</w:t>
      </w:r>
      <w:r w:rsidRPr="00FF3E2C">
        <w:rPr>
          <w:rStyle w:val="apple-converted-space"/>
          <w:color w:val="000000"/>
        </w:rPr>
        <w:t> </w:t>
      </w:r>
      <w:r w:rsidRPr="00FF3E2C">
        <w:rPr>
          <w:color w:val="000000"/>
        </w:rPr>
        <w:t xml:space="preserve">under the ADEA. </w:t>
      </w:r>
      <w:r w:rsidRPr="007E143C">
        <w:rPr>
          <w:i/>
          <w:iCs/>
          <w:color w:val="000000"/>
        </w:rPr>
        <w:t>Gross v. FBL Fin. Servs.</w:t>
      </w:r>
      <w:r w:rsidRPr="00FF3E2C">
        <w:rPr>
          <w:color w:val="000000"/>
        </w:rPr>
        <w:t xml:space="preserve">, Inc., 129 S. Ct. 2343, 2351 (2009). The Fifth Circuit recognizes that once an employer’s explanation is discredited, the jury may infer discrimination made the difference. </w:t>
      </w:r>
      <w:r w:rsidRPr="007E143C">
        <w:rPr>
          <w:i/>
          <w:iCs/>
          <w:color w:val="000000"/>
        </w:rPr>
        <w:t>Reeves</w:t>
      </w:r>
      <w:r w:rsidRPr="00FF3E2C">
        <w:rPr>
          <w:color w:val="000000"/>
        </w:rPr>
        <w:t xml:space="preserve">, 530 U.S. at 147; </w:t>
      </w:r>
      <w:r w:rsidRPr="007E143C">
        <w:rPr>
          <w:i/>
          <w:iCs/>
          <w:color w:val="000000"/>
        </w:rPr>
        <w:t>Russell</w:t>
      </w:r>
      <w:r w:rsidRPr="00FF3E2C">
        <w:rPr>
          <w:color w:val="000000"/>
        </w:rPr>
        <w:t xml:space="preserve">, 235 F.3d at 225–26. Here, the “elimination” label does not fit the facts, the performance narrative lacks contemporaneous support, the company installed a materially younger hire into a role overlapping </w:t>
      </w:r>
      <w:r w:rsidRPr="00FF3E2C">
        <w:rPr>
          <w:color w:val="000000"/>
        </w:rPr>
        <w:lastRenderedPageBreak/>
        <w:t>Morgan’s work, and managers framed modernization in age-coded terms</w:t>
      </w:r>
      <w:r w:rsidR="007E143C">
        <w:rPr>
          <w:color w:val="000000"/>
        </w:rPr>
        <w:t xml:space="preserve">. </w:t>
      </w:r>
      <w:r w:rsidRPr="00FF3E2C">
        <w:rPr>
          <w:color w:val="000000"/>
        </w:rPr>
        <w:t xml:space="preserve">Viewing the totality of the evidence as Palasota requires, a jury could conclude that age was the determinative reason for the outcome. </w:t>
      </w:r>
    </w:p>
    <w:p w14:paraId="47CA81F5" w14:textId="5259E014" w:rsidR="00E37D4F" w:rsidRPr="00FF3E2C" w:rsidRDefault="0041709B" w:rsidP="0041709B">
      <w:pPr>
        <w:pStyle w:val="NormalWeb"/>
        <w:spacing w:line="480" w:lineRule="auto"/>
        <w:ind w:firstLine="720"/>
        <w:rPr>
          <w:color w:val="000000"/>
        </w:rPr>
      </w:pPr>
      <w:r w:rsidRPr="00FF3E2C">
        <w:rPr>
          <w:color w:val="000000"/>
        </w:rPr>
        <w:t>The judgment should be reversed. At a minimum, genuine disputes of material fact preclude summary judgment. On this record, where the employer’s reason collapses and the circumstantial indicia point in one direction, the Court should direct entry of judgment for Morgan.</w:t>
      </w:r>
    </w:p>
    <w:p w14:paraId="3EE86C45" w14:textId="77777777" w:rsidR="00E37D4F" w:rsidRPr="00FF3E2C" w:rsidRDefault="00E37D4F" w:rsidP="00FC51F3">
      <w:pPr>
        <w:pStyle w:val="Heading2"/>
        <w:spacing w:line="480" w:lineRule="auto"/>
        <w:ind w:left="0" w:firstLine="0"/>
        <w:rPr>
          <w:rStyle w:val="Strong"/>
          <w:rFonts w:ascii="Times New Roman" w:hAnsi="Times New Roman" w:cs="Times New Roman"/>
          <w:color w:val="000000"/>
          <w:sz w:val="24"/>
          <w:szCs w:val="24"/>
        </w:rPr>
      </w:pPr>
    </w:p>
    <w:p w14:paraId="0EB5C50B" w14:textId="6E54E5D3" w:rsidR="007567F7" w:rsidRPr="0086330D" w:rsidRDefault="00E37D4F" w:rsidP="007567F7">
      <w:pPr>
        <w:pStyle w:val="Heading2"/>
        <w:spacing w:line="480" w:lineRule="auto"/>
        <w:ind w:left="0" w:firstLine="0"/>
        <w:rPr>
          <w:rFonts w:ascii="Times New Roman" w:eastAsia="Times New Roman" w:hAnsi="Times New Roman" w:cs="Times New Roman"/>
          <w:b w:val="0"/>
          <w:bCs w:val="0"/>
          <w:color w:val="000000"/>
          <w:sz w:val="24"/>
          <w:szCs w:val="24"/>
        </w:rPr>
      </w:pPr>
      <w:r w:rsidRPr="0086330D">
        <w:rPr>
          <w:rStyle w:val="Strong"/>
          <w:rFonts w:ascii="Times New Roman" w:hAnsi="Times New Roman" w:cs="Times New Roman"/>
          <w:b/>
          <w:bCs/>
          <w:color w:val="000000"/>
          <w:sz w:val="24"/>
          <w:szCs w:val="24"/>
        </w:rPr>
        <w:t>ARGUMENT</w:t>
      </w:r>
    </w:p>
    <w:p w14:paraId="224D661A" w14:textId="02DF9471" w:rsidR="0041709B" w:rsidRPr="0086330D" w:rsidRDefault="00A64AD3" w:rsidP="00A64AD3">
      <w:pPr>
        <w:spacing w:before="100" w:beforeAutospacing="1" w:after="100" w:afterAutospacing="1" w:line="480" w:lineRule="auto"/>
        <w:outlineLvl w:val="2"/>
        <w:rPr>
          <w:b/>
          <w:bCs/>
          <w:color w:val="000000"/>
        </w:rPr>
      </w:pPr>
      <w:r w:rsidRPr="0086330D">
        <w:rPr>
          <w:b/>
          <w:bCs/>
          <w:color w:val="000000"/>
        </w:rPr>
        <w:t xml:space="preserve">I. </w:t>
      </w:r>
      <w:r w:rsidR="0041709B" w:rsidRPr="0086330D">
        <w:rPr>
          <w:b/>
          <w:bCs/>
          <w:color w:val="000000"/>
        </w:rPr>
        <w:t xml:space="preserve">An Employer’s </w:t>
      </w:r>
      <w:r w:rsidRPr="0086330D">
        <w:rPr>
          <w:b/>
          <w:bCs/>
          <w:color w:val="000000"/>
        </w:rPr>
        <w:t>Legitimate</w:t>
      </w:r>
      <w:r w:rsidR="0041709B" w:rsidRPr="0086330D">
        <w:rPr>
          <w:b/>
          <w:bCs/>
          <w:color w:val="000000"/>
        </w:rPr>
        <w:t xml:space="preserve"> </w:t>
      </w:r>
      <w:r w:rsidRPr="0086330D">
        <w:rPr>
          <w:b/>
          <w:bCs/>
          <w:color w:val="000000"/>
        </w:rPr>
        <w:t>Nondiscriminatory</w:t>
      </w:r>
      <w:r w:rsidR="0041709B" w:rsidRPr="0086330D">
        <w:rPr>
          <w:b/>
          <w:bCs/>
          <w:color w:val="000000"/>
        </w:rPr>
        <w:t xml:space="preserve"> Reason for Termination is Pretextual </w:t>
      </w:r>
      <w:r w:rsidRPr="0086330D">
        <w:rPr>
          <w:b/>
          <w:bCs/>
          <w:color w:val="000000"/>
        </w:rPr>
        <w:t>W</w:t>
      </w:r>
      <w:r w:rsidR="0041709B" w:rsidRPr="0086330D">
        <w:rPr>
          <w:b/>
          <w:bCs/>
          <w:color w:val="000000"/>
        </w:rPr>
        <w:t>he</w:t>
      </w:r>
      <w:r w:rsidRPr="0086330D">
        <w:rPr>
          <w:b/>
          <w:bCs/>
          <w:color w:val="000000"/>
        </w:rPr>
        <w:t>n</w:t>
      </w:r>
      <w:r w:rsidR="0041709B" w:rsidRPr="0086330D">
        <w:rPr>
          <w:b/>
          <w:bCs/>
          <w:color w:val="000000"/>
        </w:rPr>
        <w:t xml:space="preserve"> </w:t>
      </w:r>
      <w:r w:rsidRPr="0086330D">
        <w:rPr>
          <w:b/>
          <w:bCs/>
          <w:color w:val="000000"/>
        </w:rPr>
        <w:t>a Trier of Fact Could Find the Proffered Reason Unbelievable</w:t>
      </w:r>
      <w:r w:rsidR="0086330D">
        <w:rPr>
          <w:b/>
          <w:bCs/>
          <w:color w:val="000000"/>
        </w:rPr>
        <w:t>.</w:t>
      </w:r>
    </w:p>
    <w:p w14:paraId="5BA3A8CF" w14:textId="2D1E6A9B" w:rsidR="00E37D4F" w:rsidRPr="0086330D" w:rsidRDefault="0086330D" w:rsidP="0086330D">
      <w:pPr>
        <w:spacing w:line="480" w:lineRule="auto"/>
        <w:ind w:firstLine="720"/>
      </w:pPr>
      <w:r>
        <w:t xml:space="preserve">The ADEA makes it unlawful for an employer to “discharge any individual…because of such individual’s age”. 29 U.S.C § 623(a)(1). Employees aged 40 and older are considered a protected class under this act. </w:t>
      </w:r>
      <w:r>
        <w:rPr>
          <w:i/>
        </w:rPr>
        <w:t>Id.</w:t>
      </w:r>
      <w:r>
        <w:t xml:space="preserve"> § 631. Employers may defend this claim on the grounds of a “reasonable factor other than age” or a </w:t>
      </w:r>
      <w:proofErr w:type="spellStart"/>
      <w:r>
        <w:t>bonafide</w:t>
      </w:r>
      <w:proofErr w:type="spellEnd"/>
      <w:r>
        <w:t xml:space="preserve"> occupational qualification. </w:t>
      </w:r>
      <w:r>
        <w:rPr>
          <w:i/>
        </w:rPr>
        <w:t xml:space="preserve">Id. </w:t>
      </w:r>
      <w:r>
        <w:t xml:space="preserve">§ 623(f). In the absence of direct evidence, ADEA claims are commonly evaluated under the </w:t>
      </w:r>
      <w:r>
        <w:rPr>
          <w:i/>
        </w:rPr>
        <w:t>McDonnell Douglas</w:t>
      </w:r>
      <w:r>
        <w:t xml:space="preserve"> framework. </w:t>
      </w:r>
      <w:r>
        <w:rPr>
          <w:i/>
        </w:rPr>
        <w:t>McDonnell Douglas Corp. v. Green</w:t>
      </w:r>
      <w:r>
        <w:t xml:space="preserve">, 411 U.S. 792, 802–05 (1973). The plaintiff must first establish a prima facie case, and then the burden shifts to the employer to articulate a legitimate, non-discriminatory reason (LNDR) for the adverse action, or termination. </w:t>
      </w:r>
      <w:r>
        <w:rPr>
          <w:i/>
        </w:rPr>
        <w:t xml:space="preserve">Tex. </w:t>
      </w:r>
      <w:proofErr w:type="spellStart"/>
      <w:r>
        <w:rPr>
          <w:i/>
        </w:rPr>
        <w:t>Dep’t</w:t>
      </w:r>
      <w:proofErr w:type="spellEnd"/>
      <w:r>
        <w:rPr>
          <w:i/>
        </w:rPr>
        <w:t xml:space="preserve"> of </w:t>
      </w:r>
      <w:proofErr w:type="spellStart"/>
      <w:r>
        <w:rPr>
          <w:i/>
        </w:rPr>
        <w:t>Cmty</w:t>
      </w:r>
      <w:proofErr w:type="spellEnd"/>
      <w:r>
        <w:rPr>
          <w:i/>
        </w:rPr>
        <w:t>. Affairs v. Burdine</w:t>
      </w:r>
      <w:r>
        <w:t xml:space="preserve">, 450 U.S. 248, 253 (1981). Lastly, the plaintiff must show that 1) the employer’s stated reason is pretextual and that 2) age was the determinative factor, or “but-for” cause, in their termination. </w:t>
      </w:r>
      <w:r>
        <w:rPr>
          <w:i/>
        </w:rPr>
        <w:t>Id.</w:t>
      </w:r>
      <w:r>
        <w:t xml:space="preserve"> at 256. </w:t>
      </w:r>
      <w:r w:rsidR="00E37D4F" w:rsidRPr="0086330D">
        <w:rPr>
          <w:color w:val="000000"/>
        </w:rPr>
        <w:t xml:space="preserve">At summary judgment, the court must not weigh credibility or resolve factual disputes; if the plaintiff casts doubt on the employer’s rationale, the claim proceeds to a jury. </w:t>
      </w:r>
      <w:r w:rsidRPr="0086330D">
        <w:rPr>
          <w:i/>
          <w:iCs/>
          <w:color w:val="000000"/>
        </w:rPr>
        <w:t>Reeves v. Sanderson</w:t>
      </w:r>
      <w:r w:rsidRPr="00FF3E2C">
        <w:rPr>
          <w:i/>
          <w:iCs/>
          <w:color w:val="000000"/>
        </w:rPr>
        <w:t xml:space="preserve"> Plumbing Prods., Inc.</w:t>
      </w:r>
      <w:r w:rsidRPr="00FF3E2C">
        <w:rPr>
          <w:color w:val="000000"/>
        </w:rPr>
        <w:t xml:space="preserve">, 530 U.S. 133, </w:t>
      </w:r>
      <w:r>
        <w:rPr>
          <w:color w:val="000000"/>
        </w:rPr>
        <w:t>150</w:t>
      </w:r>
      <w:r w:rsidRPr="00FF3E2C">
        <w:rPr>
          <w:color w:val="000000"/>
        </w:rPr>
        <w:t xml:space="preserve"> </w:t>
      </w:r>
      <w:r w:rsidRPr="00FF3E2C">
        <w:rPr>
          <w:color w:val="000000"/>
        </w:rPr>
        <w:lastRenderedPageBreak/>
        <w:t xml:space="preserve">(2000). </w:t>
      </w:r>
      <w:r w:rsidR="00E37D4F" w:rsidRPr="00FF3E2C">
        <w:rPr>
          <w:color w:val="000000"/>
        </w:rPr>
        <w:t>Morgan overwhelmingly met this burden. The district court erred by discounting the contested nature of Architronics’s explanation and by failing to view the evidence in the light most favorable to the nonmovant. When the full factual record is properly considered, no rational jury could conclude that Architronics acted for any reason other than age.</w:t>
      </w:r>
    </w:p>
    <w:p w14:paraId="35F7ED95" w14:textId="564E597D" w:rsidR="00A64AD3" w:rsidRPr="0086330D" w:rsidRDefault="00E37D4F" w:rsidP="00FC51F3">
      <w:pPr>
        <w:spacing w:before="100" w:beforeAutospacing="1" w:after="100" w:afterAutospacing="1" w:line="480" w:lineRule="auto"/>
        <w:outlineLvl w:val="3"/>
        <w:rPr>
          <w:b/>
          <w:bCs/>
          <w:color w:val="000000"/>
        </w:rPr>
      </w:pPr>
      <w:r w:rsidRPr="0086330D">
        <w:rPr>
          <w:b/>
          <w:bCs/>
          <w:color w:val="000000"/>
        </w:rPr>
        <w:t>A</w:t>
      </w:r>
      <w:r w:rsidR="007567F7" w:rsidRPr="0086330D">
        <w:rPr>
          <w:b/>
          <w:bCs/>
          <w:color w:val="000000"/>
        </w:rPr>
        <w:t>.</w:t>
      </w:r>
      <w:r w:rsidR="00A64AD3" w:rsidRPr="0086330D">
        <w:rPr>
          <w:b/>
          <w:bCs/>
          <w:color w:val="000000"/>
        </w:rPr>
        <w:t xml:space="preserve"> </w:t>
      </w:r>
      <w:r w:rsidR="007567F7" w:rsidRPr="0086330D">
        <w:rPr>
          <w:b/>
          <w:bCs/>
          <w:color w:val="000000"/>
        </w:rPr>
        <w:t xml:space="preserve">Where the Record Reflects </w:t>
      </w:r>
      <w:r w:rsidR="00A64AD3" w:rsidRPr="0086330D">
        <w:rPr>
          <w:b/>
          <w:bCs/>
          <w:color w:val="000000"/>
        </w:rPr>
        <w:t xml:space="preserve">Satisfactory performance by an </w:t>
      </w:r>
      <w:r w:rsidR="007567F7" w:rsidRPr="0086330D">
        <w:rPr>
          <w:b/>
          <w:bCs/>
          <w:color w:val="000000"/>
        </w:rPr>
        <w:t>E</w:t>
      </w:r>
      <w:r w:rsidR="00A64AD3" w:rsidRPr="0086330D">
        <w:rPr>
          <w:b/>
          <w:bCs/>
          <w:color w:val="000000"/>
        </w:rPr>
        <w:t>mployee</w:t>
      </w:r>
      <w:r w:rsidR="007567F7" w:rsidRPr="0086330D">
        <w:rPr>
          <w:b/>
          <w:bCs/>
          <w:color w:val="000000"/>
        </w:rPr>
        <w:t>, an Employer’s Claim of Dissatisfaction as an LNDR Can Be Considered Pretextual</w:t>
      </w:r>
      <w:r w:rsidR="0086330D">
        <w:rPr>
          <w:b/>
          <w:bCs/>
          <w:color w:val="000000"/>
        </w:rPr>
        <w:t>.</w:t>
      </w:r>
    </w:p>
    <w:p w14:paraId="362E6858" w14:textId="57B0D726" w:rsidR="007567F7" w:rsidRPr="00FF3E2C" w:rsidRDefault="007567F7" w:rsidP="007567F7">
      <w:pPr>
        <w:spacing w:before="100" w:beforeAutospacing="1" w:after="100" w:afterAutospacing="1" w:line="480" w:lineRule="auto"/>
        <w:ind w:firstLine="720"/>
      </w:pPr>
      <w:r w:rsidRPr="00FF3E2C">
        <w:t xml:space="preserve">An employer can’t defeat an ADEA claim merely by asserting dissatisfaction where the record reflects satisfactory performance by the employee. </w:t>
      </w:r>
      <w:r w:rsidRPr="00FF3E2C">
        <w:rPr>
          <w:i/>
        </w:rPr>
        <w:t>Bienkowski v. Am. Airlines, Inc.</w:t>
      </w:r>
      <w:r w:rsidRPr="00FF3E2C">
        <w:t xml:space="preserve">, 851 F.2d 1503, 1506 (5th Cir. 1988). In </w:t>
      </w:r>
      <w:r w:rsidRPr="00FF3E2C">
        <w:rPr>
          <w:i/>
          <w:iCs/>
        </w:rPr>
        <w:t>Bienkowski</w:t>
      </w:r>
      <w:r w:rsidRPr="00FF3E2C">
        <w:t xml:space="preserve">, the </w:t>
      </w:r>
      <w:r w:rsidRPr="00FF3E2C">
        <w:rPr>
          <w:highlight w:val="white"/>
        </w:rPr>
        <w:t xml:space="preserve">plaintiff, age 59, worked as a security representative for the defendant, when he was terminated and replaced by a </w:t>
      </w:r>
      <w:r w:rsidR="0086330D" w:rsidRPr="00FF3E2C">
        <w:rPr>
          <w:highlight w:val="white"/>
        </w:rPr>
        <w:t>54-year-old</w:t>
      </w:r>
      <w:r w:rsidRPr="00FF3E2C">
        <w:rPr>
          <w:highlight w:val="white"/>
        </w:rPr>
        <w:t>. The employee filed an action on under ADEA, and the Court held that the employee challenging his termination could ordinarily establish a prima facie case of age discrimination by showing that he continued to possess the necessary qualifications for his job at the time of the adverse action</w:t>
      </w:r>
      <w:r w:rsidRPr="00FF3E2C">
        <w:t xml:space="preserve">. </w:t>
      </w:r>
      <w:r w:rsidRPr="00FF3E2C">
        <w:rPr>
          <w:highlight w:val="white"/>
        </w:rPr>
        <w:t>Although prima facie case is established in our case, this case is analogous to Morgan’s in that both Morgan and the plaintiff in this case met performance requirements prior to termination</w:t>
      </w:r>
      <w:r w:rsidRPr="00FF3E2C">
        <w:t xml:space="preserve">. </w:t>
      </w:r>
    </w:p>
    <w:p w14:paraId="7A0016E1" w14:textId="5E9C6ECD" w:rsidR="00E37D4F" w:rsidRPr="00FF3E2C" w:rsidRDefault="00E37D4F" w:rsidP="007567F7">
      <w:pPr>
        <w:spacing w:before="100" w:beforeAutospacing="1" w:after="100" w:afterAutospacing="1" w:line="480" w:lineRule="auto"/>
        <w:ind w:firstLine="720"/>
        <w:rPr>
          <w:color w:val="000000"/>
        </w:rPr>
      </w:pPr>
      <w:r w:rsidRPr="00FF3E2C">
        <w:rPr>
          <w:color w:val="000000"/>
        </w:rPr>
        <w:t>The linchpin of Architronics’s defense is that Morgan allegedly “failed to adapt” to new technological demands. But performance criticisms appearing for the first time in fifteen years, and only after the company expressed hostility toward older employees, are highly suspect and support an inference of pretext. Morgan’s record reflects no documented failures, no discipline, and no negative reviews until senior leadership began favoring younger workers. </w:t>
      </w:r>
      <w:r w:rsidR="007567F7" w:rsidRPr="00FF3E2C">
        <w:rPr>
          <w:color w:val="000000"/>
        </w:rPr>
        <w:t xml:space="preserve">R. at </w:t>
      </w:r>
      <w:r w:rsidR="00703A6F" w:rsidRPr="00FF3E2C">
        <w:rPr>
          <w:color w:val="000000"/>
        </w:rPr>
        <w:t xml:space="preserve">14. The Fifth Circuit repeatedly treats a sharp, litigation-convenient shift from an employee’s stable evaluations to sudden claims of deficiency as probative of pretext. </w:t>
      </w:r>
      <w:r w:rsidR="00703A6F" w:rsidRPr="007E143C">
        <w:rPr>
          <w:i/>
          <w:iCs/>
          <w:color w:val="000000"/>
        </w:rPr>
        <w:t>Russell</w:t>
      </w:r>
      <w:r w:rsidR="00703A6F" w:rsidRPr="00FF3E2C">
        <w:rPr>
          <w:color w:val="000000"/>
        </w:rPr>
        <w:t xml:space="preserve">, 235 F.3d at 225; </w:t>
      </w:r>
      <w:r w:rsidR="00703A6F" w:rsidRPr="007E143C">
        <w:rPr>
          <w:i/>
          <w:iCs/>
          <w:color w:val="000000"/>
        </w:rPr>
        <w:t xml:space="preserve">Brown v. CSC Logic, Inc., </w:t>
      </w:r>
      <w:r w:rsidR="00703A6F" w:rsidRPr="00FF3E2C">
        <w:rPr>
          <w:color w:val="000000"/>
        </w:rPr>
        <w:t xml:space="preserve">82 F.3d 651, 656–58 (5th Cir. 1996). </w:t>
      </w:r>
      <w:r w:rsidR="00703A6F" w:rsidRPr="00FF3E2C">
        <w:t xml:space="preserve">The absence of contemporaneous performance documentation or corrective </w:t>
      </w:r>
      <w:r w:rsidR="00703A6F" w:rsidRPr="00FF3E2C">
        <w:lastRenderedPageBreak/>
        <w:t>measures, common managerial tools when decline is genuine, removes any credibility from Architronics’s post-hoc rationale. See </w:t>
      </w:r>
      <w:r w:rsidR="00703A6F" w:rsidRPr="00FF3E2C">
        <w:rPr>
          <w:i/>
          <w:iCs/>
        </w:rPr>
        <w:t>Russell v. McKinney Hosp. Venture</w:t>
      </w:r>
      <w:r w:rsidR="00703A6F" w:rsidRPr="00FF3E2C">
        <w:t>, 235 F.3d 219, 225 (5th Cir. 2000) (jury could infer pretext where employer abruptly shifted views on employee’s performance).</w:t>
      </w:r>
      <w:r w:rsidR="00703A6F" w:rsidRPr="00FF3E2C">
        <w:rPr>
          <w:color w:val="000000"/>
        </w:rPr>
        <w:t xml:space="preserve"> Post-hoc critiques unsupported by prior warnings or credible documentation are the very pattern this Court has warned against. Sandstad, 309 F.3d at 899–901 (summary judgment improper where employer’s rationale could be found “not the real reason”).</w:t>
      </w:r>
    </w:p>
    <w:p w14:paraId="6D6EFCE7" w14:textId="5FDADE0F" w:rsidR="00E37D4F" w:rsidRPr="00FF3E2C" w:rsidRDefault="00E37D4F" w:rsidP="00A64AD3">
      <w:pPr>
        <w:spacing w:before="100" w:beforeAutospacing="1" w:after="100" w:afterAutospacing="1" w:line="480" w:lineRule="auto"/>
        <w:ind w:firstLine="720"/>
        <w:rPr>
          <w:color w:val="000000"/>
        </w:rPr>
      </w:pPr>
      <w:r w:rsidRPr="00FF3E2C">
        <w:rPr>
          <w:color w:val="000000"/>
        </w:rPr>
        <w:t>Simply put, no evidence suggests Morgan’s performance deteriorated — only that management’s patience with older employees did.</w:t>
      </w:r>
      <w:r w:rsidR="00A64AD3" w:rsidRPr="00FF3E2C">
        <w:rPr>
          <w:color w:val="000000"/>
        </w:rPr>
        <w:t xml:space="preserve"> </w:t>
      </w:r>
      <w:r w:rsidRPr="00FF3E2C">
        <w:rPr>
          <w:color w:val="000000"/>
        </w:rPr>
        <w:t>A reasonable jury could find Architronics sabotaged Morgan’s ability to meet evolving job requirements by depriving him of software training provided to younger employees. </w:t>
      </w:r>
      <w:r w:rsidR="00703A6F" w:rsidRPr="00FF3E2C">
        <w:rPr>
          <w:color w:val="000000"/>
        </w:rPr>
        <w:t>R</w:t>
      </w:r>
      <w:r w:rsidR="003222D9" w:rsidRPr="00FF3E2C">
        <w:rPr>
          <w:color w:val="000000"/>
        </w:rPr>
        <w:t>.</w:t>
      </w:r>
      <w:r w:rsidR="00703A6F" w:rsidRPr="00FF3E2C">
        <w:rPr>
          <w:color w:val="000000"/>
        </w:rPr>
        <w:t xml:space="preserve"> at 26</w:t>
      </w:r>
      <w:r w:rsidRPr="00FF3E2C">
        <w:t xml:space="preserve">. </w:t>
      </w:r>
      <w:r w:rsidRPr="00FF3E2C">
        <w:rPr>
          <w:color w:val="000000"/>
        </w:rPr>
        <w:t>This denial is not disputed. Younger employees</w:t>
      </w:r>
      <w:r w:rsidR="00703A6F" w:rsidRPr="00FF3E2C">
        <w:rPr>
          <w:color w:val="000000"/>
        </w:rPr>
        <w:t xml:space="preserve">, </w:t>
      </w:r>
      <w:r w:rsidRPr="00FF3E2C">
        <w:rPr>
          <w:color w:val="000000"/>
        </w:rPr>
        <w:t>including Morgan’s eventual replacement</w:t>
      </w:r>
      <w:r w:rsidR="00703A6F" w:rsidRPr="00FF3E2C">
        <w:rPr>
          <w:color w:val="000000"/>
        </w:rPr>
        <w:t xml:space="preserve">, </w:t>
      </w:r>
      <w:r w:rsidRPr="00FF3E2C">
        <w:rPr>
          <w:color w:val="000000"/>
        </w:rPr>
        <w:t>received CAD licensing and instruction; Morgan did not. </w:t>
      </w:r>
      <w:r w:rsidR="00703A6F" w:rsidRPr="00FF3E2C">
        <w:rPr>
          <w:i/>
          <w:iCs/>
          <w:color w:val="000000"/>
        </w:rPr>
        <w:t>Id.</w:t>
      </w:r>
      <w:r w:rsidRPr="00FF3E2C">
        <w:t xml:space="preserve"> When an employer designs the failure </w:t>
      </w:r>
      <w:r w:rsidR="00703A6F" w:rsidRPr="00FF3E2C">
        <w:t xml:space="preserve">that </w:t>
      </w:r>
      <w:r w:rsidRPr="00FF3E2C">
        <w:t>it later cites as the basis for termination; discrimination is the logical inference</w:t>
      </w:r>
      <w:r w:rsidR="00703A6F" w:rsidRPr="00FF3E2C">
        <w:t xml:space="preserve"> that any trier of fact could find</w:t>
      </w:r>
      <w:r w:rsidRPr="00FF3E2C">
        <w:t>.</w:t>
      </w:r>
    </w:p>
    <w:p w14:paraId="75B598EA" w14:textId="6A85D2EB" w:rsidR="00A64AD3" w:rsidRPr="00FF3E2C" w:rsidRDefault="00E37D4F" w:rsidP="0086330D">
      <w:pPr>
        <w:spacing w:before="100" w:beforeAutospacing="1" w:after="100" w:afterAutospacing="1" w:line="480" w:lineRule="auto"/>
        <w:ind w:firstLine="720"/>
        <w:rPr>
          <w:color w:val="000000"/>
        </w:rPr>
      </w:pPr>
      <w:r w:rsidRPr="00FF3E2C">
        <w:rPr>
          <w:color w:val="000000"/>
        </w:rPr>
        <w:t>Architronics argues that its offer of a lower-ranked position in Victoria negates any inference of discrimination. The record proves the opposite. The proposed reassignment:</w:t>
      </w:r>
      <w:r w:rsidR="00703A6F" w:rsidRPr="00FF3E2C">
        <w:rPr>
          <w:color w:val="000000"/>
        </w:rPr>
        <w:t xml:space="preserve"> 1) r</w:t>
      </w:r>
      <w:r w:rsidRPr="00FF3E2C">
        <w:rPr>
          <w:color w:val="000000"/>
        </w:rPr>
        <w:t>educed Morgan from Senior Design Specialist to a junior drafter role</w:t>
      </w:r>
      <w:r w:rsidR="00703A6F" w:rsidRPr="00FF3E2C">
        <w:rPr>
          <w:color w:val="000000"/>
        </w:rPr>
        <w:t>, 2) r</w:t>
      </w:r>
      <w:r w:rsidRPr="00FF3E2C">
        <w:rPr>
          <w:color w:val="000000"/>
        </w:rPr>
        <w:t>educed status and responsibilities</w:t>
      </w:r>
      <w:r w:rsidR="00703A6F" w:rsidRPr="00FF3E2C">
        <w:rPr>
          <w:color w:val="000000"/>
        </w:rPr>
        <w:t>, 3) p</w:t>
      </w:r>
      <w:r w:rsidRPr="00FF3E2C">
        <w:rPr>
          <w:color w:val="000000"/>
        </w:rPr>
        <w:t>rovided no relocation assistance</w:t>
      </w:r>
      <w:r w:rsidR="00703A6F" w:rsidRPr="00FF3E2C">
        <w:rPr>
          <w:color w:val="000000"/>
        </w:rPr>
        <w:t xml:space="preserve"> 4) r</w:t>
      </w:r>
      <w:r w:rsidRPr="00FF3E2C">
        <w:rPr>
          <w:color w:val="000000"/>
        </w:rPr>
        <w:t>equired several-hour commute each way</w:t>
      </w:r>
      <w:r w:rsidR="00703A6F" w:rsidRPr="00FF3E2C">
        <w:rPr>
          <w:color w:val="000000"/>
        </w:rPr>
        <w:t>. On top of the overwhelmingly unappealing offer given to Mr. Morgan, Architronics gave him a 72-hour window to make this life-altering decision. R</w:t>
      </w:r>
      <w:r w:rsidR="003222D9" w:rsidRPr="00FF3E2C">
        <w:rPr>
          <w:color w:val="000000"/>
        </w:rPr>
        <w:t>.</w:t>
      </w:r>
      <w:r w:rsidR="00703A6F" w:rsidRPr="00FF3E2C">
        <w:rPr>
          <w:color w:val="000000"/>
        </w:rPr>
        <w:t xml:space="preserve"> at 27. </w:t>
      </w:r>
      <w:r w:rsidRPr="00FF3E2C">
        <w:rPr>
          <w:color w:val="000000"/>
        </w:rPr>
        <w:t>An offer that no reasonable employee in Morgan’s position could accept is not a genuine continuation of employment, but a constructive mechanism to force separation. A jury could readily determine that the offer was “crafted to be declined,” further confirming the discriminatory motive already evident in the record.</w:t>
      </w:r>
    </w:p>
    <w:p w14:paraId="3969F79E" w14:textId="6BA76C00" w:rsidR="00E37D4F" w:rsidRPr="00FF3E2C" w:rsidRDefault="00E37D4F" w:rsidP="0086330D">
      <w:pPr>
        <w:spacing w:before="100" w:beforeAutospacing="1" w:after="100" w:afterAutospacing="1" w:line="480" w:lineRule="auto"/>
        <w:ind w:firstLine="720"/>
        <w:rPr>
          <w:color w:val="000000"/>
        </w:rPr>
      </w:pPr>
      <w:r w:rsidRPr="00FF3E2C">
        <w:rPr>
          <w:color w:val="000000"/>
        </w:rPr>
        <w:lastRenderedPageBreak/>
        <w:t>In fact, the company’s offer allowed it to claim, falsely, that Morgan “chose” unemployment</w:t>
      </w:r>
      <w:r w:rsidR="00703A6F" w:rsidRPr="00FF3E2C">
        <w:rPr>
          <w:color w:val="000000"/>
        </w:rPr>
        <w:t xml:space="preserve">, </w:t>
      </w:r>
      <w:r w:rsidRPr="00FF3E2C">
        <w:rPr>
          <w:color w:val="000000"/>
        </w:rPr>
        <w:t>shifting blame to him while preserving an appearance of neutrality. The ADEA does not tolerate such pretextual tactics. See </w:t>
      </w:r>
      <w:r w:rsidRPr="00FF3E2C">
        <w:rPr>
          <w:i/>
          <w:iCs/>
          <w:color w:val="000000"/>
        </w:rPr>
        <w:t>Reeves</w:t>
      </w:r>
      <w:r w:rsidRPr="00FF3E2C">
        <w:rPr>
          <w:color w:val="000000"/>
        </w:rPr>
        <w:t>, 530 U.S. at 147 (employer cannot rely on invented “paper rationale” to conceal bias).</w:t>
      </w:r>
    </w:p>
    <w:p w14:paraId="017E5C88" w14:textId="16CBF139" w:rsidR="007567F7" w:rsidRPr="0086330D" w:rsidRDefault="007567F7" w:rsidP="00FC51F3">
      <w:pPr>
        <w:spacing w:before="100" w:beforeAutospacing="1" w:after="100" w:afterAutospacing="1" w:line="480" w:lineRule="auto"/>
        <w:outlineLvl w:val="3"/>
        <w:rPr>
          <w:b/>
          <w:bCs/>
          <w:color w:val="000000"/>
        </w:rPr>
      </w:pPr>
      <w:r w:rsidRPr="0086330D">
        <w:rPr>
          <w:b/>
          <w:bCs/>
          <w:color w:val="000000"/>
        </w:rPr>
        <w:t>B. Financial Inconsistencies Can Render an LNDR Unbelievable</w:t>
      </w:r>
      <w:r w:rsidR="0086330D">
        <w:rPr>
          <w:b/>
          <w:bCs/>
          <w:color w:val="000000"/>
        </w:rPr>
        <w:t>.</w:t>
      </w:r>
    </w:p>
    <w:p w14:paraId="3F420441" w14:textId="616EACEA" w:rsidR="007567F7" w:rsidRPr="00FF3E2C" w:rsidRDefault="007567F7" w:rsidP="007567F7">
      <w:pPr>
        <w:spacing w:before="100" w:beforeAutospacing="1" w:after="100" w:afterAutospacing="1" w:line="480" w:lineRule="auto"/>
        <w:ind w:firstLine="720"/>
        <w:outlineLvl w:val="3"/>
        <w:rPr>
          <w:color w:val="000000"/>
        </w:rPr>
      </w:pPr>
      <w:r w:rsidRPr="00FF3E2C">
        <w:rPr>
          <w:color w:val="000000"/>
        </w:rPr>
        <w:t xml:space="preserve">Business-judgment deference does not insulate contradictory justifications. When an employer claims a cost-cutting elimination while simultaneously authorizing new positions or expenditures aligned with the same function, a jury may find the proffered reason pretextual. </w:t>
      </w:r>
      <w:r w:rsidRPr="007E143C">
        <w:rPr>
          <w:i/>
          <w:iCs/>
          <w:color w:val="000000"/>
        </w:rPr>
        <w:t>Sandstad</w:t>
      </w:r>
      <w:r w:rsidRPr="00FF3E2C">
        <w:rPr>
          <w:color w:val="000000"/>
        </w:rPr>
        <w:t xml:space="preserve">, 309 F.3d at 899–901; </w:t>
      </w:r>
      <w:r w:rsidRPr="007E143C">
        <w:rPr>
          <w:i/>
          <w:iCs/>
          <w:color w:val="000000"/>
        </w:rPr>
        <w:t>Roberson v. Alltec</w:t>
      </w:r>
      <w:r w:rsidRPr="00FF3E2C">
        <w:rPr>
          <w:color w:val="000000"/>
        </w:rPr>
        <w:t>h, 373 F.3d 647, 656–58 (5th Cir. 2004). The record includes approvals for a new role substantially overlapping with Morgan’s duties and discretionary spending inconsistent with a true reduction R. at 14. That mismatch is a classic credibility problem under this Court’s cases.</w:t>
      </w:r>
      <w:r w:rsidR="006D456A" w:rsidRPr="00FF3E2C">
        <w:rPr>
          <w:color w:val="000000"/>
        </w:rPr>
        <w:t xml:space="preserve"> </w:t>
      </w:r>
      <w:r w:rsidRPr="00FF3E2C">
        <w:rPr>
          <w:i/>
          <w:iCs/>
          <w:color w:val="000000"/>
        </w:rPr>
        <w:t>Palasota</w:t>
      </w:r>
      <w:r w:rsidR="006D456A" w:rsidRPr="00FF3E2C">
        <w:rPr>
          <w:i/>
          <w:iCs/>
          <w:color w:val="000000"/>
        </w:rPr>
        <w:t xml:space="preserve"> v. Haggar Clothing, Inc.,</w:t>
      </w:r>
      <w:r w:rsidRPr="00FF3E2C">
        <w:rPr>
          <w:color w:val="000000"/>
        </w:rPr>
        <w:t xml:space="preserve"> 342 F.3d at 577–79.</w:t>
      </w:r>
    </w:p>
    <w:p w14:paraId="1F1E1760" w14:textId="507CF323" w:rsidR="00703A6F" w:rsidRPr="00FF3E2C" w:rsidRDefault="00703A6F" w:rsidP="006D456A">
      <w:pPr>
        <w:spacing w:before="100" w:beforeAutospacing="1" w:after="100" w:afterAutospacing="1" w:line="480" w:lineRule="auto"/>
        <w:ind w:firstLine="720"/>
        <w:rPr>
          <w:color w:val="000000"/>
        </w:rPr>
      </w:pPr>
      <w:r w:rsidRPr="00FF3E2C">
        <w:rPr>
          <w:color w:val="000000"/>
        </w:rPr>
        <w:t xml:space="preserve">Architronics asserts that economic restructuring required the elimination of Morgan’s position. But the undisputed facts are that: 1) His job duties continued, 2) They were transferred to 49-year-old Ellison, a substantially younger employee, and 3) </w:t>
      </w:r>
      <w:r w:rsidR="006D456A" w:rsidRPr="0086330D">
        <w:rPr>
          <w:color w:val="000000"/>
        </w:rPr>
        <w:t xml:space="preserve">The company did no </w:t>
      </w:r>
      <w:r w:rsidR="0086330D">
        <w:rPr>
          <w:color w:val="000000"/>
        </w:rPr>
        <w:t>“</w:t>
      </w:r>
      <w:r w:rsidR="006D456A" w:rsidRPr="0086330D">
        <w:rPr>
          <w:color w:val="000000"/>
        </w:rPr>
        <w:t>restructuring</w:t>
      </w:r>
      <w:r w:rsidR="006D456A" w:rsidRPr="00FF3E2C">
        <w:rPr>
          <w:color w:val="000000"/>
        </w:rPr>
        <w:t>.</w:t>
      </w:r>
      <w:r w:rsidR="0086330D">
        <w:rPr>
          <w:color w:val="000000"/>
        </w:rPr>
        <w:t>”</w:t>
      </w:r>
      <w:r w:rsidR="006D456A" w:rsidRPr="00FF3E2C">
        <w:rPr>
          <w:color w:val="000000"/>
        </w:rPr>
        <w:t xml:space="preserve"> R. at 33.</w:t>
      </w:r>
      <w:r w:rsidRPr="00FF3E2C">
        <w:rPr>
          <w:color w:val="000000"/>
        </w:rPr>
        <w:t xml:space="preserve"> That is not elimination; It is replacement. See </w:t>
      </w:r>
      <w:r w:rsidRPr="00FF3E2C">
        <w:rPr>
          <w:i/>
          <w:iCs/>
          <w:color w:val="000000"/>
        </w:rPr>
        <w:t>Palasota v. Haggar Clothing Co.</w:t>
      </w:r>
      <w:r w:rsidRPr="00FF3E2C">
        <w:rPr>
          <w:color w:val="000000"/>
        </w:rPr>
        <w:t xml:space="preserve">, 342 F.3d 569, 574–75 (5th Cir. 2003) (purported </w:t>
      </w:r>
      <w:r w:rsidR="006D456A" w:rsidRPr="00FF3E2C">
        <w:rPr>
          <w:color w:val="000000"/>
        </w:rPr>
        <w:t>Reduction in Force (“</w:t>
      </w:r>
      <w:r w:rsidRPr="00FF3E2C">
        <w:rPr>
          <w:color w:val="000000"/>
        </w:rPr>
        <w:t>RIF</w:t>
      </w:r>
      <w:r w:rsidR="006D456A" w:rsidRPr="00FF3E2C">
        <w:rPr>
          <w:color w:val="000000"/>
        </w:rPr>
        <w:t>”)</w:t>
      </w:r>
      <w:r w:rsidRPr="00FF3E2C">
        <w:rPr>
          <w:color w:val="000000"/>
        </w:rPr>
        <w:t xml:space="preserve"> is pretext where duties reassigned to younger employee). This evidence alone defeats summary judgment under the standards set </w:t>
      </w:r>
      <w:r w:rsidR="006D456A" w:rsidRPr="00FF3E2C">
        <w:rPr>
          <w:color w:val="000000"/>
        </w:rPr>
        <w:t xml:space="preserve">in </w:t>
      </w:r>
      <w:r w:rsidRPr="00FF3E2C">
        <w:rPr>
          <w:i/>
          <w:iCs/>
          <w:color w:val="000000"/>
        </w:rPr>
        <w:t>Reeves</w:t>
      </w:r>
      <w:r w:rsidRPr="00FF3E2C">
        <w:rPr>
          <w:color w:val="000000"/>
        </w:rPr>
        <w:t>.</w:t>
      </w:r>
    </w:p>
    <w:p w14:paraId="3A4C4D91" w14:textId="65CEB655" w:rsidR="00E37D4F" w:rsidRPr="00FF3E2C" w:rsidRDefault="00703A6F" w:rsidP="00FF3E2C">
      <w:pPr>
        <w:spacing w:before="100" w:beforeAutospacing="1" w:after="100" w:afterAutospacing="1" w:line="480" w:lineRule="auto"/>
        <w:ind w:firstLine="720"/>
      </w:pPr>
      <w:r w:rsidRPr="00FF3E2C">
        <w:rPr>
          <w:color w:val="000000"/>
        </w:rPr>
        <w:t>No competing inference negates this conclusion. Architronics has offered no documentation, budget analysis, or financial data corroborating its restructuring claims. Instead, its narrative relies solely on self-serving affidavits created after litigation began</w:t>
      </w:r>
      <w:r w:rsidR="006D456A" w:rsidRPr="00FF3E2C">
        <w:rPr>
          <w:color w:val="000000"/>
        </w:rPr>
        <w:t xml:space="preserve">. </w:t>
      </w:r>
      <w:r w:rsidR="00DE0BDA" w:rsidRPr="00FF3E2C">
        <w:rPr>
          <w:color w:val="000000"/>
        </w:rPr>
        <w:t xml:space="preserve">Affidavits that only spoke to the inconsistencies between their supposed RIF and the monetary expenditures made simultaneously. Architronics conceded </w:t>
      </w:r>
      <w:r w:rsidR="00DE0BDA" w:rsidRPr="00FF3E2C">
        <w:rPr>
          <w:color w:val="000000"/>
        </w:rPr>
        <w:lastRenderedPageBreak/>
        <w:t xml:space="preserve">that during the “restructuring,” the company paid out bonuses to executives, went on a luxury company trip, and even remodeled the façade of their headquarters in Corpus Christi. This is all clear evidence that negates the claim of financial necessity for employee termination. </w:t>
      </w:r>
      <w:r w:rsidR="0086330D">
        <w:t xml:space="preserve">In </w:t>
      </w:r>
      <w:r w:rsidR="0086330D">
        <w:rPr>
          <w:i/>
        </w:rPr>
        <w:t>Dabbasi v. Motiva Enters. LLC</w:t>
      </w:r>
      <w:r w:rsidR="0086330D">
        <w:t xml:space="preserve">, 885 F. Supp. 2d 859, 878 (S.D. Tex. 2012), conflicting evidence regarding economic justifications was found to be sufficient to preclude summary judgment. </w:t>
      </w:r>
      <w:r w:rsidR="0086330D">
        <w:rPr>
          <w:color w:val="000000"/>
        </w:rPr>
        <w:t>The</w:t>
      </w:r>
      <w:r w:rsidR="00DE0BDA" w:rsidRPr="00FF3E2C">
        <w:rPr>
          <w:color w:val="000000"/>
        </w:rPr>
        <w:t xml:space="preserve"> inconsistenc</w:t>
      </w:r>
      <w:r w:rsidR="0086330D">
        <w:rPr>
          <w:color w:val="000000"/>
        </w:rPr>
        <w:t>ies in Architronics’ economic justifications and financial evidence</w:t>
      </w:r>
      <w:r w:rsidR="00DE0BDA" w:rsidRPr="00FF3E2C">
        <w:rPr>
          <w:color w:val="000000"/>
        </w:rPr>
        <w:t xml:space="preserve"> can easily lead a trier of fact to find </w:t>
      </w:r>
      <w:r w:rsidR="0086330D">
        <w:rPr>
          <w:color w:val="000000"/>
        </w:rPr>
        <w:t>t</w:t>
      </w:r>
      <w:r w:rsidR="00DE0BDA" w:rsidRPr="00FF3E2C">
        <w:rPr>
          <w:color w:val="000000"/>
        </w:rPr>
        <w:t xml:space="preserve">he proffered reason of financial necessity </w:t>
      </w:r>
      <w:r w:rsidR="0086330D" w:rsidRPr="00FF3E2C">
        <w:rPr>
          <w:color w:val="000000"/>
        </w:rPr>
        <w:t>unbelievable and</w:t>
      </w:r>
      <w:r w:rsidR="00DE0BDA" w:rsidRPr="00FF3E2C">
        <w:rPr>
          <w:color w:val="000000"/>
        </w:rPr>
        <w:t xml:space="preserve"> thus find the proffered reason pretextual.</w:t>
      </w:r>
    </w:p>
    <w:p w14:paraId="1C4884D3" w14:textId="1EEA7F0F" w:rsidR="00E37D4F" w:rsidRPr="0086330D" w:rsidRDefault="00E37D4F" w:rsidP="00FC51F3">
      <w:pPr>
        <w:spacing w:before="100" w:beforeAutospacing="1" w:after="100" w:afterAutospacing="1" w:line="480" w:lineRule="auto"/>
        <w:outlineLvl w:val="2"/>
        <w:rPr>
          <w:b/>
          <w:bCs/>
          <w:color w:val="000000"/>
        </w:rPr>
      </w:pPr>
      <w:r w:rsidRPr="0086330D">
        <w:rPr>
          <w:b/>
          <w:bCs/>
          <w:color w:val="000000"/>
        </w:rPr>
        <w:t xml:space="preserve">II. </w:t>
      </w:r>
      <w:r w:rsidR="003222D9" w:rsidRPr="0086330D">
        <w:rPr>
          <w:b/>
          <w:bCs/>
          <w:color w:val="000000"/>
        </w:rPr>
        <w:t>Age was the Determinative Factor, or “But-For” Cause, of Mogan’s Termination</w:t>
      </w:r>
      <w:r w:rsidR="0086330D">
        <w:rPr>
          <w:b/>
          <w:bCs/>
          <w:color w:val="000000"/>
        </w:rPr>
        <w:t>.</w:t>
      </w:r>
    </w:p>
    <w:p w14:paraId="251C61A1" w14:textId="374AE8EB" w:rsidR="00E37D4F" w:rsidRPr="00FF3E2C" w:rsidRDefault="00E37D4F" w:rsidP="0086330D">
      <w:pPr>
        <w:spacing w:before="100" w:beforeAutospacing="1" w:after="100" w:afterAutospacing="1" w:line="480" w:lineRule="auto"/>
        <w:ind w:firstLine="720"/>
        <w:rPr>
          <w:color w:val="000000"/>
        </w:rPr>
      </w:pPr>
      <w:r w:rsidRPr="00FF3E2C">
        <w:rPr>
          <w:color w:val="000000"/>
        </w:rPr>
        <w:t>To prevail under the ADEA, a plaintiff must show that age was the but-for cause of the challenged adverse employment action. </w:t>
      </w:r>
      <w:r w:rsidRPr="00FF3E2C">
        <w:rPr>
          <w:i/>
          <w:iCs/>
          <w:color w:val="000000"/>
        </w:rPr>
        <w:t>Gross v. FBL Fin. Servs., Inc.</w:t>
      </w:r>
      <w:r w:rsidRPr="00FF3E2C">
        <w:rPr>
          <w:color w:val="000000"/>
        </w:rPr>
        <w:t>, 557 U.S. 167, 176 (2009). The causal question is evaluated using common-sense reasoning: whether the decision would have occurred absent the prohibited characteristic.</w:t>
      </w:r>
      <w:r w:rsidR="003222D9" w:rsidRPr="00FF3E2C">
        <w:rPr>
          <w:color w:val="000000"/>
        </w:rPr>
        <w:t xml:space="preserve"> According to </w:t>
      </w:r>
      <w:r w:rsidR="003222D9" w:rsidRPr="00FF3E2C">
        <w:rPr>
          <w:i/>
          <w:iCs/>
          <w:color w:val="000000"/>
        </w:rPr>
        <w:t xml:space="preserve">Rachid, </w:t>
      </w:r>
      <w:r w:rsidR="003222D9" w:rsidRPr="00FF3E2C">
        <w:t xml:space="preserve">an employer’s repeated ageist comments can create a genuine issue of material fact regarding whether age was a motivating factor in the termination decision. </w:t>
      </w:r>
      <w:r w:rsidR="003222D9" w:rsidRPr="00FF3E2C">
        <w:rPr>
          <w:i/>
        </w:rPr>
        <w:t>Rachid v. Jack in the Box, Inc.</w:t>
      </w:r>
      <w:r w:rsidR="003222D9" w:rsidRPr="00FF3E2C">
        <w:t xml:space="preserve">, 376 F.3d 305, 315 (5th Cir. 2004). Rachid, aged 52, was employed by the defendant who made disparaging comments about Rachid's age. Rachid reported these comments to the company’s human resources department and requested a transfer, which was denied. Rachid was terminated for allegedly failing to follow policies related to recording employee time. After Rachid was replaced by a </w:t>
      </w:r>
      <w:r w:rsidR="00CD4C64" w:rsidRPr="00FF3E2C">
        <w:t>47-year-old</w:t>
      </w:r>
      <w:r w:rsidR="003222D9" w:rsidRPr="00FF3E2C">
        <w:t xml:space="preserve">, he filed an EEOC charge, received a Right to Sue letter, and initiated a lawsuit. The facts of Rachid are </w:t>
      </w:r>
      <w:r w:rsidR="006D456A" w:rsidRPr="00FF3E2C">
        <w:t>like</w:t>
      </w:r>
      <w:r w:rsidR="003222D9" w:rsidRPr="00FF3E2C">
        <w:t xml:space="preserve"> Morgan’s case in that </w:t>
      </w:r>
      <w:r w:rsidR="006D456A" w:rsidRPr="00FF3E2C">
        <w:t xml:space="preserve">both employees were subject to harassment in the workplace due to their age and replaced by a younger </w:t>
      </w:r>
      <w:r w:rsidR="00CD4C64" w:rsidRPr="00FF3E2C">
        <w:t>new hire</w:t>
      </w:r>
      <w:r w:rsidR="006D456A" w:rsidRPr="00FF3E2C">
        <w:t xml:space="preserve">. </w:t>
      </w:r>
    </w:p>
    <w:p w14:paraId="39D59710" w14:textId="51703F7B" w:rsidR="00E37D4F" w:rsidRPr="0086330D" w:rsidRDefault="006D456A" w:rsidP="0086330D">
      <w:pPr>
        <w:spacing w:before="100" w:beforeAutospacing="1" w:after="100" w:afterAutospacing="1" w:line="480" w:lineRule="auto"/>
        <w:ind w:firstLine="720"/>
      </w:pPr>
      <w:r w:rsidRPr="00FF3E2C">
        <w:rPr>
          <w:color w:val="000000"/>
        </w:rPr>
        <w:t>In Morgan’s case</w:t>
      </w:r>
      <w:r w:rsidR="00E37D4F" w:rsidRPr="00FF3E2C">
        <w:rPr>
          <w:color w:val="000000"/>
        </w:rPr>
        <w:t xml:space="preserve">, the termination decision was preceded by a clear shift in management’s language and priorities that targeted older workers for removal. Supervisors repeatedly stressed the need for </w:t>
      </w:r>
      <w:r w:rsidR="00DE0BDA" w:rsidRPr="00FF3E2C">
        <w:rPr>
          <w:color w:val="000000"/>
        </w:rPr>
        <w:t xml:space="preserve">fresh energy </w:t>
      </w:r>
      <w:r w:rsidR="00E37D4F" w:rsidRPr="00FF3E2C">
        <w:rPr>
          <w:color w:val="000000"/>
        </w:rPr>
        <w:t xml:space="preserve">and </w:t>
      </w:r>
      <w:r w:rsidR="00DE0BDA" w:rsidRPr="00FF3E2C">
        <w:rPr>
          <w:color w:val="000000"/>
        </w:rPr>
        <w:t xml:space="preserve">a </w:t>
      </w:r>
      <w:r w:rsidR="00E37D4F" w:rsidRPr="00FF3E2C">
        <w:rPr>
          <w:color w:val="000000"/>
        </w:rPr>
        <w:t>“</w:t>
      </w:r>
      <w:r w:rsidR="00DE0BDA" w:rsidRPr="00FF3E2C">
        <w:rPr>
          <w:color w:val="000000"/>
        </w:rPr>
        <w:t>youthful business model</w:t>
      </w:r>
      <w:r w:rsidR="00E37D4F" w:rsidRPr="00FF3E2C">
        <w:rPr>
          <w:color w:val="000000"/>
        </w:rPr>
        <w:t>” as essential to the company’s expansion. </w:t>
      </w:r>
      <w:r w:rsidR="00DE0BDA" w:rsidRPr="00FF3E2C">
        <w:rPr>
          <w:color w:val="000000"/>
        </w:rPr>
        <w:t>R. at 18.</w:t>
      </w:r>
      <w:r w:rsidR="00E37D4F" w:rsidRPr="00FF3E2C">
        <w:t xml:space="preserve"> </w:t>
      </w:r>
      <w:r w:rsidR="00E37D4F" w:rsidRPr="00FF3E2C">
        <w:lastRenderedPageBreak/>
        <w:t>Morgan was uniquely disadvantaged in that transition</w:t>
      </w:r>
      <w:r w:rsidR="00DE0BDA" w:rsidRPr="00FF3E2C">
        <w:t xml:space="preserve">, </w:t>
      </w:r>
      <w:r w:rsidR="00E37D4F" w:rsidRPr="00FF3E2C">
        <w:t>not because of lack of skill, but because Architronics denied him access to the very software tools and training required to remain competitive. </w:t>
      </w:r>
      <w:r w:rsidR="00DE0BDA" w:rsidRPr="00FF3E2C">
        <w:rPr>
          <w:color w:val="000000"/>
        </w:rPr>
        <w:t xml:space="preserve">R. at 26. </w:t>
      </w:r>
      <w:r w:rsidR="00E37D4F" w:rsidRPr="00FF3E2C">
        <w:t>These facts tie age directly to the employer’s asserted justification.</w:t>
      </w:r>
      <w:r w:rsidR="00DE0BDA" w:rsidRPr="00FF3E2C">
        <w:t xml:space="preserve"> </w:t>
      </w:r>
      <w:r w:rsidR="00E37D4F" w:rsidRPr="00FF3E2C">
        <w:rPr>
          <w:color w:val="000000"/>
        </w:rPr>
        <w:t>The company’s stated rationale, insufficient technological adaptation, has no force without reference to the selective withholding of training based on age. Had Morgan been permitted the same opportunities provided to younger employees, no justification for termination would exist. See </w:t>
      </w:r>
      <w:r w:rsidR="00E37D4F" w:rsidRPr="00FF3E2C">
        <w:rPr>
          <w:i/>
          <w:iCs/>
          <w:color w:val="000000"/>
        </w:rPr>
        <w:t>Reeves</w:t>
      </w:r>
      <w:r w:rsidR="00E37D4F" w:rsidRPr="00FF3E2C">
        <w:rPr>
          <w:color w:val="000000"/>
        </w:rPr>
        <w:t>, 530 U.S. at 147 (pretext supports but-for causation where the stated rationale is demonstrably false).</w:t>
      </w:r>
      <w:r w:rsidR="0086330D">
        <w:t xml:space="preserve"> </w:t>
      </w:r>
      <w:r w:rsidR="00E37D4F" w:rsidRPr="00FF3E2C">
        <w:rPr>
          <w:color w:val="000000"/>
        </w:rPr>
        <w:t>Put differently, the difference-maker here was not performance. It was the employer’s decision to hold Morgan back because he was older. No reasonable jury could find that performance concerns, if genuine, would be handled by sudden discharge rather than the common practice of coaching, written warnings, and improvement planning</w:t>
      </w:r>
      <w:r w:rsidR="00DE0BDA" w:rsidRPr="00FF3E2C">
        <w:rPr>
          <w:color w:val="000000"/>
        </w:rPr>
        <w:t xml:space="preserve">, </w:t>
      </w:r>
      <w:r w:rsidR="00E37D4F" w:rsidRPr="00FF3E2C">
        <w:rPr>
          <w:color w:val="000000"/>
        </w:rPr>
        <w:t>none of which occurred.</w:t>
      </w:r>
    </w:p>
    <w:p w14:paraId="6D8B9606" w14:textId="77777777" w:rsidR="0086330D" w:rsidRDefault="00E37D4F" w:rsidP="0086330D">
      <w:pPr>
        <w:spacing w:before="100" w:beforeAutospacing="1" w:after="100" w:afterAutospacing="1" w:line="480" w:lineRule="auto"/>
        <w:ind w:firstLine="720"/>
      </w:pPr>
      <w:r w:rsidRPr="00FF3E2C">
        <w:rPr>
          <w:color w:val="000000"/>
        </w:rPr>
        <w:t>Even without emphasizing the numeric age gap, the record demonstrates that Architronics favored younger designers while marginalizing Morgan. Although Morgan had extensive tenure and a long history of successful performance, the company provided software access, skill development opportunities, and role advancement only to younger employees, including the individual who assumed his duties after his termination. </w:t>
      </w:r>
      <w:r w:rsidR="00FF3E2C" w:rsidRPr="00FF3E2C">
        <w:rPr>
          <w:i/>
          <w:iCs/>
          <w:color w:val="000000"/>
        </w:rPr>
        <w:t>Id.</w:t>
      </w:r>
      <w:r w:rsidRPr="00FF3E2C">
        <w:t> None of the younger designers involved in the transition received negative feedback or were subjected to performance scrutiny; to the contrary, they were supported through the very technological shift used to justify removing Morgan. The differential treatment is especially telling because Morgan and the younger designers performed the same core work functions. The only material distinction between them was Morgan’s age</w:t>
      </w:r>
      <w:r w:rsidR="00FF3E2C" w:rsidRPr="00FF3E2C">
        <w:t xml:space="preserve">, </w:t>
      </w:r>
      <w:r w:rsidRPr="00FF3E2C">
        <w:t>tenur</w:t>
      </w:r>
      <w:r w:rsidR="00FF3E2C" w:rsidRPr="00FF3E2C">
        <w:t xml:space="preserve">e, and </w:t>
      </w:r>
      <w:proofErr w:type="spellStart"/>
      <w:r w:rsidR="00FF3E2C" w:rsidRPr="00FF3E2C">
        <w:t>saged</w:t>
      </w:r>
      <w:proofErr w:type="spellEnd"/>
      <w:r w:rsidR="00FF3E2C" w:rsidRPr="00FF3E2C">
        <w:t xml:space="preserve"> way of conducting business</w:t>
      </w:r>
      <w:r w:rsidRPr="00FF3E2C">
        <w:t>. In this context, the disparate allocation of training and advancement is not random or incidental</w:t>
      </w:r>
      <w:r w:rsidR="00FF3E2C" w:rsidRPr="00FF3E2C">
        <w:t xml:space="preserve">, </w:t>
      </w:r>
      <w:r w:rsidRPr="00FF3E2C">
        <w:t>it is evidence that Architronics viewed Morgan’s age as a liability and shaped its employment decisions accordingly. See </w:t>
      </w:r>
      <w:r w:rsidRPr="00FF3E2C">
        <w:rPr>
          <w:i/>
          <w:iCs/>
        </w:rPr>
        <w:t>Palasota</w:t>
      </w:r>
      <w:r w:rsidRPr="00FF3E2C">
        <w:t xml:space="preserve">, 342 F.3d at 577 (preferential treatment of younger employees performing comparable work supports a finding of unlawful age-based motive). Thus, a reasonable </w:t>
      </w:r>
      <w:r w:rsidRPr="00FF3E2C">
        <w:lastRenderedPageBreak/>
        <w:t>factfinder would conclude that Architronics would not have terminated Morgan while retaining and supporting younger coworkers but for his age.</w:t>
      </w:r>
      <w:r w:rsidR="00FF3E2C" w:rsidRPr="00FF3E2C">
        <w:t xml:space="preserve"> </w:t>
      </w:r>
      <w:r w:rsidRPr="00FF3E2C">
        <w:rPr>
          <w:color w:val="000000"/>
        </w:rPr>
        <w:t>Because vesting status correlates strongly with tenure and age, an employer’s desire to avoid increased benefit liability may itself reflect a prohibited age-based motive. Morgan was discharged just months before significant financial obligations to him would have attached. </w:t>
      </w:r>
      <w:r w:rsidR="00FF3E2C" w:rsidRPr="00FF3E2C">
        <w:rPr>
          <w:color w:val="000000"/>
        </w:rPr>
        <w:t>R. at 16.</w:t>
      </w:r>
      <w:r w:rsidRPr="00FF3E2C">
        <w:t> </w:t>
      </w:r>
    </w:p>
    <w:p w14:paraId="627C0216" w14:textId="79CDF355" w:rsidR="00E37D4F" w:rsidRPr="0086330D" w:rsidRDefault="00E37D4F" w:rsidP="0086330D">
      <w:pPr>
        <w:spacing w:before="100" w:beforeAutospacing="1" w:after="100" w:afterAutospacing="1" w:line="480" w:lineRule="auto"/>
        <w:ind w:firstLine="720"/>
      </w:pPr>
      <w:r w:rsidRPr="00FF3E2C">
        <w:rPr>
          <w:color w:val="000000"/>
        </w:rPr>
        <w:t>Architronics has never offered a legitimate explanation for why the termination could not wait until a performance review cycle or training remediation period. The timing reveals urgency, and only one factor changed: Morgan’s proximity to vesting.</w:t>
      </w:r>
      <w:r w:rsidRPr="00FF3E2C">
        <w:t xml:space="preserve"> </w:t>
      </w:r>
      <w:r w:rsidRPr="00FF3E2C">
        <w:rPr>
          <w:color w:val="000000"/>
        </w:rPr>
        <w:t>Had Morgan been younger, and thus further from the vesting event, the financial motive disappears</w:t>
      </w:r>
      <w:r w:rsidR="00FF3E2C" w:rsidRPr="00FF3E2C">
        <w:rPr>
          <w:color w:val="000000"/>
        </w:rPr>
        <w:t xml:space="preserve">, </w:t>
      </w:r>
      <w:r w:rsidRPr="00FF3E2C">
        <w:rPr>
          <w:color w:val="000000"/>
        </w:rPr>
        <w:t xml:space="preserve">and </w:t>
      </w:r>
      <w:r w:rsidR="00FF3E2C" w:rsidRPr="00FF3E2C">
        <w:rPr>
          <w:color w:val="000000"/>
        </w:rPr>
        <w:t xml:space="preserve">likely </w:t>
      </w:r>
      <w:r w:rsidRPr="00FF3E2C">
        <w:rPr>
          <w:color w:val="000000"/>
        </w:rPr>
        <w:t>so does the termination decision.</w:t>
      </w:r>
      <w:r w:rsidR="0086330D">
        <w:t xml:space="preserve"> </w:t>
      </w:r>
      <w:r w:rsidRPr="00FF3E2C">
        <w:rPr>
          <w:color w:val="000000"/>
        </w:rPr>
        <w:t>Architronics could have addressed skill gaps through training, but it did not. Architronics could have executed restructuring by reducing force irrespective of age, but it did not. Architronics could have allowed vesting before separation, but it did not. Remove age</w:t>
      </w:r>
      <w:r w:rsidR="00FF3E2C" w:rsidRPr="00FF3E2C">
        <w:rPr>
          <w:color w:val="000000"/>
        </w:rPr>
        <w:t xml:space="preserve">, </w:t>
      </w:r>
      <w:r w:rsidRPr="00FF3E2C">
        <w:rPr>
          <w:color w:val="000000"/>
        </w:rPr>
        <w:t>and none of the decisions make sense.</w:t>
      </w:r>
    </w:p>
    <w:p w14:paraId="4A68F57C" w14:textId="77777777" w:rsidR="00E37D4F" w:rsidRPr="00FF3E2C" w:rsidRDefault="00E37D4F" w:rsidP="00FC51F3">
      <w:pPr>
        <w:spacing w:line="480" w:lineRule="auto"/>
      </w:pPr>
    </w:p>
    <w:p w14:paraId="379E7AAD" w14:textId="77777777" w:rsidR="00E37D4F" w:rsidRPr="0086330D" w:rsidRDefault="00E37D4F" w:rsidP="00FC51F3">
      <w:pPr>
        <w:spacing w:before="100" w:beforeAutospacing="1" w:after="100" w:afterAutospacing="1" w:line="480" w:lineRule="auto"/>
        <w:outlineLvl w:val="1"/>
        <w:rPr>
          <w:b/>
          <w:bCs/>
          <w:color w:val="000000"/>
        </w:rPr>
      </w:pPr>
      <w:r w:rsidRPr="0086330D">
        <w:rPr>
          <w:b/>
          <w:bCs/>
          <w:color w:val="000000"/>
        </w:rPr>
        <w:t>CONCLUSION</w:t>
      </w:r>
    </w:p>
    <w:p w14:paraId="55D51683" w14:textId="4E68C1E2" w:rsidR="00E37D4F" w:rsidRPr="00FF3E2C" w:rsidRDefault="00FF3E2C" w:rsidP="00FF3E2C">
      <w:pPr>
        <w:spacing w:before="100" w:beforeAutospacing="1" w:after="100" w:afterAutospacing="1" w:line="480" w:lineRule="auto"/>
        <w:ind w:firstLine="720"/>
        <w:outlineLvl w:val="3"/>
        <w:rPr>
          <w:color w:val="000000"/>
        </w:rPr>
      </w:pPr>
      <w:r w:rsidRPr="00FF3E2C">
        <w:rPr>
          <w:color w:val="000000"/>
        </w:rPr>
        <w:t xml:space="preserve">Taken together, the evidence compels the conclusion that Architronics’s explanation was pretextual as a matter of law and Age was the </w:t>
      </w:r>
      <w:proofErr w:type="spellStart"/>
      <w:r w:rsidRPr="00FF3E2C">
        <w:rPr>
          <w:color w:val="000000"/>
        </w:rPr>
        <w:t>but</w:t>
      </w:r>
      <w:proofErr w:type="spellEnd"/>
      <w:r w:rsidRPr="00FF3E2C">
        <w:rPr>
          <w:color w:val="000000"/>
        </w:rPr>
        <w:t>-for factor in Morgan’s termination. Under </w:t>
      </w:r>
      <w:r w:rsidRPr="00FF3E2C">
        <w:rPr>
          <w:i/>
          <w:iCs/>
          <w:color w:val="000000"/>
        </w:rPr>
        <w:t>Reeves</w:t>
      </w:r>
      <w:r w:rsidRPr="00FF3E2C">
        <w:rPr>
          <w:color w:val="000000"/>
        </w:rPr>
        <w:t xml:space="preserve">, when the plaintiff’s prima facie case is strong and the employer’s explanation is unworthy of credence, the court must permit, and may require, judgment for the plaintiff. 530 U.S. at 147. Here, it is undisputed that Morgan established a prima facie case of age discrimination. </w:t>
      </w:r>
      <w:r w:rsidR="00E37D4F" w:rsidRPr="00FF3E2C">
        <w:rPr>
          <w:color w:val="000000"/>
        </w:rPr>
        <w:t xml:space="preserve">Architronics failed to articulate any </w:t>
      </w:r>
      <w:r w:rsidR="00CD4C64" w:rsidRPr="00FF3E2C">
        <w:rPr>
          <w:color w:val="000000"/>
        </w:rPr>
        <w:t>legitimate</w:t>
      </w:r>
      <w:r w:rsidRPr="00FF3E2C">
        <w:rPr>
          <w:color w:val="000000"/>
        </w:rPr>
        <w:t xml:space="preserve">, nondiscriminatory </w:t>
      </w:r>
      <w:r w:rsidR="00E37D4F" w:rsidRPr="00FF3E2C">
        <w:rPr>
          <w:color w:val="000000"/>
        </w:rPr>
        <w:t>explanation for its actions that is both consistent and supported by admissible evidence. The record conclusively demonstrates that the company’s stated rationale</w:t>
      </w:r>
      <w:r w:rsidRPr="00FF3E2C">
        <w:rPr>
          <w:color w:val="000000"/>
        </w:rPr>
        <w:t xml:space="preserve">s, </w:t>
      </w:r>
      <w:r w:rsidR="00E37D4F" w:rsidRPr="00FF3E2C">
        <w:rPr>
          <w:color w:val="000000"/>
        </w:rPr>
        <w:t>alleged failure to adapt to technological changes</w:t>
      </w:r>
      <w:r w:rsidRPr="00FF3E2C">
        <w:rPr>
          <w:color w:val="000000"/>
        </w:rPr>
        <w:t xml:space="preserve"> and financial necessity, were</w:t>
      </w:r>
      <w:r w:rsidR="00E37D4F" w:rsidRPr="00FF3E2C">
        <w:rPr>
          <w:color w:val="000000"/>
        </w:rPr>
        <w:t xml:space="preserve"> pretextual, and </w:t>
      </w:r>
      <w:r w:rsidR="00E37D4F" w:rsidRPr="00FF3E2C">
        <w:rPr>
          <w:color w:val="000000"/>
        </w:rPr>
        <w:lastRenderedPageBreak/>
        <w:t xml:space="preserve">that age was the </w:t>
      </w:r>
      <w:proofErr w:type="spellStart"/>
      <w:r w:rsidR="00E37D4F" w:rsidRPr="00FF3E2C">
        <w:rPr>
          <w:color w:val="000000"/>
        </w:rPr>
        <w:t>but</w:t>
      </w:r>
      <w:proofErr w:type="spellEnd"/>
      <w:r w:rsidR="00E37D4F" w:rsidRPr="00FF3E2C">
        <w:rPr>
          <w:color w:val="000000"/>
        </w:rPr>
        <w:t xml:space="preserve">-for </w:t>
      </w:r>
      <w:proofErr w:type="gramStart"/>
      <w:r w:rsidR="00E37D4F" w:rsidRPr="00FF3E2C">
        <w:rPr>
          <w:color w:val="000000"/>
        </w:rPr>
        <w:t>cause</w:t>
      </w:r>
      <w:proofErr w:type="gramEnd"/>
      <w:r w:rsidR="00E37D4F" w:rsidRPr="00FF3E2C">
        <w:rPr>
          <w:color w:val="000000"/>
        </w:rPr>
        <w:t xml:space="preserve"> of its decision to terminate Morgan’s long-standing employment. Under </w:t>
      </w:r>
      <w:r w:rsidR="00E37D4F" w:rsidRPr="00FF3E2C">
        <w:rPr>
          <w:i/>
          <w:iCs/>
          <w:color w:val="000000"/>
        </w:rPr>
        <w:t>Reeves</w:t>
      </w:r>
      <w:r w:rsidR="00E37D4F" w:rsidRPr="00FF3E2C">
        <w:rPr>
          <w:color w:val="000000"/>
        </w:rPr>
        <w:t>, </w:t>
      </w:r>
      <w:r w:rsidR="00E37D4F" w:rsidRPr="00FF3E2C">
        <w:rPr>
          <w:i/>
          <w:iCs/>
          <w:color w:val="000000"/>
        </w:rPr>
        <w:t>Gross</w:t>
      </w:r>
      <w:r w:rsidR="00E37D4F" w:rsidRPr="00FF3E2C">
        <w:rPr>
          <w:color w:val="000000"/>
        </w:rPr>
        <w:t xml:space="preserve">, and applicable Fifth Circuit precedent, no reasonable juror could find otherwise on the undisputed facts. Because this is not a case in which credibility determinations or factual disputes warrant a trial, the proper remedy is not </w:t>
      </w:r>
      <w:r w:rsidRPr="00FF3E2C">
        <w:rPr>
          <w:color w:val="000000"/>
        </w:rPr>
        <w:t xml:space="preserve">to </w:t>
      </w:r>
      <w:r w:rsidR="00E37D4F" w:rsidRPr="00FF3E2C">
        <w:rPr>
          <w:color w:val="000000"/>
        </w:rPr>
        <w:t xml:space="preserve">remand but </w:t>
      </w:r>
      <w:r w:rsidRPr="00FF3E2C">
        <w:rPr>
          <w:color w:val="000000"/>
        </w:rPr>
        <w:t>to enter</w:t>
      </w:r>
      <w:r w:rsidR="00E37D4F" w:rsidRPr="00FF3E2C">
        <w:rPr>
          <w:color w:val="000000"/>
        </w:rPr>
        <w:t xml:space="preserve"> </w:t>
      </w:r>
      <w:r w:rsidRPr="00FF3E2C">
        <w:rPr>
          <w:color w:val="000000"/>
        </w:rPr>
        <w:t>a</w:t>
      </w:r>
      <w:r w:rsidR="00E37D4F" w:rsidRPr="00FF3E2C">
        <w:rPr>
          <w:color w:val="000000"/>
        </w:rPr>
        <w:t xml:space="preserve"> judgment for the plaintiff. Accordingly, Morgan respectfully requests that this Court reverse the judgment of the district court and instruct the entry of judgment in his favor.</w:t>
      </w:r>
    </w:p>
    <w:p w14:paraId="6ACD8D5C" w14:textId="77777777" w:rsidR="006D456A" w:rsidRPr="00E11C45" w:rsidRDefault="006D456A" w:rsidP="00E37D4F">
      <w:pPr>
        <w:rPr>
          <w:b/>
          <w:bCs/>
        </w:rPr>
        <w:sectPr w:rsidR="006D456A" w:rsidRPr="00E11C45" w:rsidSect="00E37D4F">
          <w:type w:val="continuous"/>
          <w:pgSz w:w="12240" w:h="15840"/>
          <w:pgMar w:top="1360" w:right="1080" w:bottom="280" w:left="1080" w:header="720" w:footer="720" w:gutter="0"/>
          <w:cols w:space="720"/>
        </w:sectPr>
      </w:pPr>
    </w:p>
    <w:p w14:paraId="6AB4E03B" w14:textId="77777777" w:rsidR="00E37D4F" w:rsidRPr="0046662B" w:rsidRDefault="00E37D4F" w:rsidP="00E37D4F">
      <w:pPr>
        <w:spacing w:before="73"/>
        <w:ind w:left="4916"/>
        <w:rPr>
          <w:sz w:val="23"/>
        </w:rPr>
      </w:pPr>
      <w:r w:rsidRPr="0046662B">
        <w:rPr>
          <w:sz w:val="23"/>
        </w:rPr>
        <w:t>Respectfully</w:t>
      </w:r>
      <w:r w:rsidRPr="0046662B">
        <w:rPr>
          <w:spacing w:val="41"/>
          <w:sz w:val="23"/>
        </w:rPr>
        <w:t xml:space="preserve"> </w:t>
      </w:r>
      <w:r w:rsidRPr="0046662B">
        <w:rPr>
          <w:spacing w:val="-2"/>
          <w:sz w:val="23"/>
        </w:rPr>
        <w:t>submitted,</w:t>
      </w:r>
    </w:p>
    <w:p w14:paraId="380B2129" w14:textId="77777777" w:rsidR="00E37D4F" w:rsidRPr="0046662B" w:rsidRDefault="00E37D4F" w:rsidP="00E37D4F">
      <w:pPr>
        <w:pStyle w:val="BodyText"/>
        <w:rPr>
          <w:rFonts w:ascii="Times New Roman" w:hAnsi="Times New Roman" w:cs="Times New Roman"/>
          <w:sz w:val="20"/>
        </w:rPr>
      </w:pPr>
    </w:p>
    <w:p w14:paraId="1E03E0B0" w14:textId="77777777" w:rsidR="00E37D4F" w:rsidRPr="0046662B" w:rsidRDefault="00E37D4F" w:rsidP="00E37D4F">
      <w:pPr>
        <w:pStyle w:val="BodyText"/>
        <w:rPr>
          <w:rFonts w:ascii="Times New Roman" w:hAnsi="Times New Roman" w:cs="Times New Roman"/>
          <w:sz w:val="20"/>
        </w:rPr>
      </w:pPr>
    </w:p>
    <w:p w14:paraId="15CF7BA9" w14:textId="77777777" w:rsidR="00E37D4F" w:rsidRPr="0046662B" w:rsidRDefault="00E37D4F" w:rsidP="00E37D4F">
      <w:pPr>
        <w:pStyle w:val="BodyText"/>
        <w:spacing w:before="100"/>
        <w:rPr>
          <w:rFonts w:ascii="Times New Roman" w:hAnsi="Times New Roman" w:cs="Times New Roman"/>
          <w:sz w:val="20"/>
        </w:rPr>
      </w:pPr>
      <w:r w:rsidRPr="0046662B">
        <w:rPr>
          <w:rFonts w:ascii="Times New Roman" w:hAnsi="Times New Roman" w:cs="Times New Roman"/>
          <w:noProof/>
          <w:sz w:val="20"/>
        </w:rPr>
        <mc:AlternateContent>
          <mc:Choice Requires="wps">
            <w:drawing>
              <wp:anchor distT="0" distB="0" distL="0" distR="0" simplePos="0" relativeHeight="487591936" behindDoc="1" locked="0" layoutInCell="1" allowOverlap="1" wp14:anchorId="4AD3072F" wp14:editId="1CC7863F">
                <wp:simplePos x="0" y="0"/>
                <wp:positionH relativeFrom="page">
                  <wp:posOffset>3808096</wp:posOffset>
                </wp:positionH>
                <wp:positionV relativeFrom="paragraph">
                  <wp:posOffset>225147</wp:posOffset>
                </wp:positionV>
                <wp:extent cx="2453640" cy="1270"/>
                <wp:effectExtent l="0" t="0" r="0" b="0"/>
                <wp:wrapTopAndBottom/>
                <wp:docPr id="56519597"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3640" cy="1270"/>
                        </a:xfrm>
                        <a:custGeom>
                          <a:avLst/>
                          <a:gdLst/>
                          <a:ahLst/>
                          <a:cxnLst/>
                          <a:rect l="l" t="t" r="r" b="b"/>
                          <a:pathLst>
                            <a:path w="2453640">
                              <a:moveTo>
                                <a:pt x="0" y="0"/>
                              </a:moveTo>
                              <a:lnTo>
                                <a:pt x="2453643" y="0"/>
                              </a:lnTo>
                            </a:path>
                          </a:pathLst>
                        </a:custGeom>
                        <a:ln w="91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48BD9E" id="Graphic 4" o:spid="_x0000_s1026" style="position:absolute;margin-left:299.85pt;margin-top:17.75pt;width:193.2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45364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" path="m,l2453643,e" filled="f" strokeweight=".25422mm">
                <v:path arrowok="t"/>
                <w10:wrap type="topAndBottom" anchorx="page"/>
              </v:shape>
            </w:pict>
          </mc:Fallback>
        </mc:AlternateContent>
      </w:r>
    </w:p>
    <w:p w14:paraId="53C7ACF4" w14:textId="77777777" w:rsidR="00E37D4F" w:rsidRPr="0046662B" w:rsidRDefault="00E37D4F" w:rsidP="00E37D4F">
      <w:pPr>
        <w:ind w:left="4919"/>
        <w:rPr>
          <w:sz w:val="23"/>
        </w:rPr>
      </w:pPr>
      <w:r w:rsidRPr="0046662B">
        <w:rPr>
          <w:sz w:val="23"/>
        </w:rPr>
        <w:t>Junior</w:t>
      </w:r>
      <w:r w:rsidRPr="0046662B">
        <w:rPr>
          <w:spacing w:val="25"/>
          <w:sz w:val="23"/>
        </w:rPr>
        <w:t xml:space="preserve"> </w:t>
      </w:r>
      <w:r w:rsidRPr="0046662B">
        <w:rPr>
          <w:spacing w:val="-2"/>
          <w:sz w:val="23"/>
        </w:rPr>
        <w:t>Associate</w:t>
      </w:r>
    </w:p>
    <w:p w14:paraId="2E42ED13" w14:textId="77777777" w:rsidR="00E37D4F" w:rsidRPr="0046662B" w:rsidRDefault="00E37D4F" w:rsidP="00E37D4F">
      <w:pPr>
        <w:spacing w:before="8"/>
        <w:ind w:left="4922"/>
        <w:rPr>
          <w:sz w:val="23"/>
        </w:rPr>
      </w:pPr>
      <w:r w:rsidRPr="0046662B">
        <w:rPr>
          <w:sz w:val="23"/>
        </w:rPr>
        <w:t>CONRAD</w:t>
      </w:r>
      <w:r w:rsidRPr="0046662B">
        <w:rPr>
          <w:spacing w:val="25"/>
          <w:sz w:val="23"/>
        </w:rPr>
        <w:t xml:space="preserve"> </w:t>
      </w:r>
      <w:r w:rsidRPr="0046662B">
        <w:rPr>
          <w:sz w:val="23"/>
        </w:rPr>
        <w:t>&amp;</w:t>
      </w:r>
      <w:r w:rsidRPr="0046662B">
        <w:rPr>
          <w:spacing w:val="26"/>
          <w:sz w:val="23"/>
        </w:rPr>
        <w:t xml:space="preserve"> </w:t>
      </w:r>
      <w:r w:rsidRPr="0046662B">
        <w:rPr>
          <w:sz w:val="23"/>
        </w:rPr>
        <w:t>CONRAD,</w:t>
      </w:r>
      <w:r w:rsidRPr="0046662B">
        <w:rPr>
          <w:spacing w:val="35"/>
          <w:sz w:val="23"/>
        </w:rPr>
        <w:t xml:space="preserve"> </w:t>
      </w:r>
      <w:r w:rsidRPr="0046662B">
        <w:rPr>
          <w:spacing w:val="-5"/>
          <w:sz w:val="23"/>
        </w:rPr>
        <w:t>LLP</w:t>
      </w:r>
    </w:p>
    <w:p w14:paraId="588DC2F9" w14:textId="77777777" w:rsidR="00E37D4F" w:rsidRPr="0046662B" w:rsidRDefault="00E37D4F" w:rsidP="00E37D4F">
      <w:pPr>
        <w:spacing w:before="4" w:line="242" w:lineRule="auto"/>
        <w:ind w:left="4923" w:right="2370" w:hanging="1"/>
        <w:jc w:val="both"/>
        <w:rPr>
          <w:sz w:val="23"/>
        </w:rPr>
      </w:pPr>
      <w:r w:rsidRPr="0046662B">
        <w:rPr>
          <w:sz w:val="23"/>
        </w:rPr>
        <w:t>Suite 1056, Commerce Place Corpus Christi, Texas 78470 Telephone:</w:t>
      </w:r>
      <w:r w:rsidRPr="0046662B">
        <w:rPr>
          <w:spacing w:val="40"/>
          <w:sz w:val="23"/>
        </w:rPr>
        <w:t xml:space="preserve"> </w:t>
      </w:r>
      <w:r w:rsidRPr="0046662B">
        <w:rPr>
          <w:sz w:val="23"/>
        </w:rPr>
        <w:t>316-555-2134</w:t>
      </w:r>
    </w:p>
    <w:p w14:paraId="517DB8D3" w14:textId="77777777" w:rsidR="00E37D4F" w:rsidRPr="0046662B" w:rsidRDefault="00E37D4F" w:rsidP="00E37D4F">
      <w:pPr>
        <w:spacing w:before="5" w:line="252" w:lineRule="auto"/>
        <w:ind w:left="4927" w:right="2697" w:firstLine="4"/>
        <w:jc w:val="both"/>
        <w:rPr>
          <w:sz w:val="23"/>
        </w:rPr>
      </w:pPr>
      <w:r w:rsidRPr="0046662B">
        <w:rPr>
          <w:sz w:val="23"/>
        </w:rPr>
        <w:t xml:space="preserve">Facsimile: 316-555-1211 </w:t>
      </w:r>
      <w:hyperlink r:id="rId10">
        <w:r w:rsidRPr="0046662B">
          <w:rPr>
            <w:spacing w:val="-2"/>
            <w:sz w:val="23"/>
          </w:rPr>
          <w:t>conrad@conrad.com</w:t>
        </w:r>
      </w:hyperlink>
    </w:p>
    <w:p w14:paraId="5F2865D8" w14:textId="77777777" w:rsidR="00E37D4F" w:rsidRPr="0046662B" w:rsidRDefault="00E37D4F" w:rsidP="00E37D4F">
      <w:pPr>
        <w:pStyle w:val="BodyText"/>
        <w:rPr>
          <w:rFonts w:ascii="Times New Roman" w:hAnsi="Times New Roman" w:cs="Times New Roman"/>
          <w:sz w:val="23"/>
        </w:rPr>
      </w:pPr>
    </w:p>
    <w:p w14:paraId="2BD7FE97" w14:textId="77777777" w:rsidR="00E37D4F" w:rsidRDefault="00E37D4F" w:rsidP="00E37D4F">
      <w:pPr>
        <w:pStyle w:val="BodyText"/>
        <w:rPr>
          <w:rFonts w:ascii="Times New Roman" w:hAnsi="Times New Roman" w:cs="Times New Roman"/>
          <w:sz w:val="23"/>
        </w:rPr>
      </w:pPr>
    </w:p>
    <w:p w14:paraId="23C95866" w14:textId="77777777" w:rsidR="00E37D4F" w:rsidRDefault="00E37D4F" w:rsidP="00E37D4F">
      <w:pPr>
        <w:pStyle w:val="BodyText"/>
        <w:rPr>
          <w:rFonts w:ascii="Times New Roman" w:hAnsi="Times New Roman" w:cs="Times New Roman"/>
          <w:sz w:val="23"/>
        </w:rPr>
      </w:pPr>
    </w:p>
    <w:p w14:paraId="03826E6B" w14:textId="77777777" w:rsidR="00E37D4F" w:rsidRDefault="00E37D4F" w:rsidP="00E37D4F">
      <w:pPr>
        <w:pStyle w:val="BodyText"/>
        <w:rPr>
          <w:rFonts w:ascii="Times New Roman" w:hAnsi="Times New Roman" w:cs="Times New Roman"/>
          <w:sz w:val="23"/>
        </w:rPr>
      </w:pPr>
    </w:p>
    <w:p w14:paraId="55E01FB6" w14:textId="77777777" w:rsidR="00E37D4F" w:rsidRDefault="00E37D4F" w:rsidP="00E37D4F">
      <w:pPr>
        <w:pStyle w:val="BodyText"/>
        <w:rPr>
          <w:rFonts w:ascii="Times New Roman" w:hAnsi="Times New Roman" w:cs="Times New Roman"/>
          <w:sz w:val="23"/>
        </w:rPr>
      </w:pPr>
    </w:p>
    <w:p w14:paraId="746209D8" w14:textId="77777777" w:rsidR="00E37D4F" w:rsidRDefault="00E37D4F" w:rsidP="00E37D4F">
      <w:pPr>
        <w:pStyle w:val="BodyText"/>
        <w:rPr>
          <w:rFonts w:ascii="Times New Roman" w:hAnsi="Times New Roman" w:cs="Times New Roman"/>
          <w:sz w:val="23"/>
        </w:rPr>
      </w:pPr>
    </w:p>
    <w:p w14:paraId="68A72D6B" w14:textId="77777777" w:rsidR="0086330D" w:rsidRDefault="0086330D" w:rsidP="00E37D4F">
      <w:pPr>
        <w:pStyle w:val="BodyText"/>
        <w:rPr>
          <w:rFonts w:ascii="Times New Roman" w:hAnsi="Times New Roman" w:cs="Times New Roman"/>
          <w:sz w:val="23"/>
        </w:rPr>
      </w:pPr>
    </w:p>
    <w:p w14:paraId="6AE0ED70" w14:textId="77777777" w:rsidR="0086330D" w:rsidRDefault="0086330D" w:rsidP="00E37D4F">
      <w:pPr>
        <w:pStyle w:val="BodyText"/>
        <w:rPr>
          <w:rFonts w:ascii="Times New Roman" w:hAnsi="Times New Roman" w:cs="Times New Roman"/>
          <w:sz w:val="23"/>
        </w:rPr>
      </w:pPr>
    </w:p>
    <w:p w14:paraId="2CE1FDF9" w14:textId="77777777" w:rsidR="0086330D" w:rsidRDefault="0086330D" w:rsidP="00E37D4F">
      <w:pPr>
        <w:pStyle w:val="BodyText"/>
        <w:rPr>
          <w:rFonts w:ascii="Times New Roman" w:hAnsi="Times New Roman" w:cs="Times New Roman"/>
          <w:sz w:val="23"/>
        </w:rPr>
      </w:pPr>
    </w:p>
    <w:p w14:paraId="45C0880D" w14:textId="77777777" w:rsidR="0086330D" w:rsidRDefault="0086330D" w:rsidP="00E37D4F">
      <w:pPr>
        <w:pStyle w:val="BodyText"/>
        <w:rPr>
          <w:rFonts w:ascii="Times New Roman" w:hAnsi="Times New Roman" w:cs="Times New Roman"/>
          <w:sz w:val="23"/>
        </w:rPr>
      </w:pPr>
    </w:p>
    <w:p w14:paraId="53A7C9D6" w14:textId="77777777" w:rsidR="00CD4C64" w:rsidRDefault="00CD4C64" w:rsidP="00E37D4F">
      <w:pPr>
        <w:pStyle w:val="BodyText"/>
        <w:rPr>
          <w:rFonts w:ascii="Times New Roman" w:hAnsi="Times New Roman" w:cs="Times New Roman"/>
          <w:sz w:val="23"/>
        </w:rPr>
      </w:pPr>
    </w:p>
    <w:p w14:paraId="2DFEED32" w14:textId="77777777" w:rsidR="00CD4C64" w:rsidRDefault="00CD4C64" w:rsidP="00E37D4F">
      <w:pPr>
        <w:pStyle w:val="BodyText"/>
        <w:rPr>
          <w:rFonts w:ascii="Times New Roman" w:hAnsi="Times New Roman" w:cs="Times New Roman"/>
          <w:sz w:val="23"/>
        </w:rPr>
      </w:pPr>
    </w:p>
    <w:p w14:paraId="175DB62F" w14:textId="77777777" w:rsidR="00CD4C64" w:rsidRDefault="00CD4C64" w:rsidP="00E37D4F">
      <w:pPr>
        <w:pStyle w:val="BodyText"/>
        <w:rPr>
          <w:rFonts w:ascii="Times New Roman" w:hAnsi="Times New Roman" w:cs="Times New Roman"/>
          <w:sz w:val="23"/>
        </w:rPr>
      </w:pPr>
    </w:p>
    <w:p w14:paraId="305A2B92" w14:textId="77777777" w:rsidR="00CD4C64" w:rsidRDefault="00CD4C64" w:rsidP="00E37D4F">
      <w:pPr>
        <w:pStyle w:val="BodyText"/>
        <w:rPr>
          <w:rFonts w:ascii="Times New Roman" w:hAnsi="Times New Roman" w:cs="Times New Roman"/>
          <w:sz w:val="23"/>
        </w:rPr>
      </w:pPr>
    </w:p>
    <w:p w14:paraId="392A09FC" w14:textId="77777777" w:rsidR="00CD4C64" w:rsidRDefault="00CD4C64" w:rsidP="00E37D4F">
      <w:pPr>
        <w:pStyle w:val="BodyText"/>
        <w:rPr>
          <w:rFonts w:ascii="Times New Roman" w:hAnsi="Times New Roman" w:cs="Times New Roman"/>
          <w:sz w:val="23"/>
        </w:rPr>
      </w:pPr>
    </w:p>
    <w:p w14:paraId="218290F7" w14:textId="77777777" w:rsidR="00CD4C64" w:rsidRDefault="00CD4C64" w:rsidP="00E37D4F">
      <w:pPr>
        <w:pStyle w:val="BodyText"/>
        <w:rPr>
          <w:rFonts w:ascii="Times New Roman" w:hAnsi="Times New Roman" w:cs="Times New Roman"/>
          <w:sz w:val="23"/>
        </w:rPr>
      </w:pPr>
    </w:p>
    <w:p w14:paraId="03EFED99" w14:textId="77777777" w:rsidR="00CD4C64" w:rsidRDefault="00CD4C64" w:rsidP="00E37D4F">
      <w:pPr>
        <w:pStyle w:val="BodyText"/>
        <w:rPr>
          <w:rFonts w:ascii="Times New Roman" w:hAnsi="Times New Roman" w:cs="Times New Roman"/>
          <w:sz w:val="23"/>
        </w:rPr>
      </w:pPr>
    </w:p>
    <w:p w14:paraId="4E041A54" w14:textId="77777777" w:rsidR="00CD4C64" w:rsidRDefault="00CD4C64" w:rsidP="00E37D4F">
      <w:pPr>
        <w:pStyle w:val="BodyText"/>
        <w:rPr>
          <w:rFonts w:ascii="Times New Roman" w:hAnsi="Times New Roman" w:cs="Times New Roman"/>
          <w:sz w:val="23"/>
        </w:rPr>
      </w:pPr>
    </w:p>
    <w:p w14:paraId="01045982" w14:textId="77777777" w:rsidR="0086330D" w:rsidRDefault="0086330D" w:rsidP="00E37D4F">
      <w:pPr>
        <w:pStyle w:val="BodyText"/>
        <w:rPr>
          <w:rFonts w:ascii="Times New Roman" w:hAnsi="Times New Roman" w:cs="Times New Roman"/>
          <w:sz w:val="23"/>
        </w:rPr>
      </w:pPr>
    </w:p>
    <w:p w14:paraId="2B8AB965" w14:textId="77777777" w:rsidR="00E37D4F" w:rsidRDefault="00E37D4F" w:rsidP="00E37D4F">
      <w:pPr>
        <w:pStyle w:val="BodyText"/>
        <w:rPr>
          <w:rFonts w:ascii="Times New Roman" w:hAnsi="Times New Roman" w:cs="Times New Roman"/>
          <w:sz w:val="23"/>
        </w:rPr>
      </w:pPr>
    </w:p>
    <w:p w14:paraId="388DF59F" w14:textId="77777777" w:rsidR="00E37D4F" w:rsidRDefault="00E37D4F" w:rsidP="00E37D4F">
      <w:pPr>
        <w:pStyle w:val="BodyText"/>
        <w:rPr>
          <w:rFonts w:ascii="Times New Roman" w:hAnsi="Times New Roman" w:cs="Times New Roman"/>
          <w:sz w:val="23"/>
        </w:rPr>
      </w:pPr>
    </w:p>
    <w:p w14:paraId="6661BF4F" w14:textId="77777777" w:rsidR="00E37D4F" w:rsidRDefault="00E37D4F" w:rsidP="00E37D4F">
      <w:pPr>
        <w:pStyle w:val="BodyText"/>
        <w:rPr>
          <w:rFonts w:ascii="Times New Roman" w:hAnsi="Times New Roman" w:cs="Times New Roman"/>
          <w:sz w:val="23"/>
        </w:rPr>
      </w:pPr>
    </w:p>
    <w:p w14:paraId="2EA47CA5" w14:textId="77777777" w:rsidR="00E37D4F" w:rsidRDefault="00E37D4F" w:rsidP="00E37D4F">
      <w:pPr>
        <w:pStyle w:val="BodyText"/>
        <w:rPr>
          <w:rFonts w:ascii="Times New Roman" w:hAnsi="Times New Roman" w:cs="Times New Roman"/>
          <w:sz w:val="23"/>
        </w:rPr>
      </w:pPr>
    </w:p>
    <w:p w14:paraId="1E268F66" w14:textId="77777777" w:rsidR="00E37D4F" w:rsidRPr="0046662B" w:rsidRDefault="00E37D4F" w:rsidP="00E37D4F">
      <w:pPr>
        <w:pStyle w:val="BodyText"/>
        <w:rPr>
          <w:rFonts w:ascii="Times New Roman" w:hAnsi="Times New Roman" w:cs="Times New Roman"/>
          <w:sz w:val="23"/>
        </w:rPr>
      </w:pPr>
    </w:p>
    <w:p w14:paraId="184EA8A5" w14:textId="77777777" w:rsidR="00E37D4F" w:rsidRPr="0046662B" w:rsidRDefault="00E37D4F" w:rsidP="00E37D4F">
      <w:pPr>
        <w:pStyle w:val="BodyText"/>
        <w:spacing w:before="33"/>
        <w:rPr>
          <w:rFonts w:ascii="Times New Roman" w:hAnsi="Times New Roman" w:cs="Times New Roman"/>
          <w:sz w:val="23"/>
        </w:rPr>
      </w:pPr>
    </w:p>
    <w:p w14:paraId="1CA887DA" w14:textId="77777777" w:rsidR="00E37D4F" w:rsidRPr="00994FD5" w:rsidRDefault="00E37D4F" w:rsidP="00E37D4F">
      <w:pPr>
        <w:spacing w:before="1"/>
        <w:ind w:left="1579" w:right="1792"/>
        <w:jc w:val="center"/>
        <w:rPr>
          <w:sz w:val="23"/>
          <w:u w:val="single"/>
        </w:rPr>
      </w:pPr>
      <w:r w:rsidRPr="00994FD5">
        <w:rPr>
          <w:sz w:val="23"/>
          <w:u w:val="single"/>
        </w:rPr>
        <w:lastRenderedPageBreak/>
        <w:t>CERTIFICATE</w:t>
      </w:r>
      <w:r w:rsidRPr="00994FD5">
        <w:rPr>
          <w:spacing w:val="37"/>
          <w:sz w:val="23"/>
          <w:u w:val="single"/>
        </w:rPr>
        <w:t xml:space="preserve"> </w:t>
      </w:r>
      <w:r w:rsidRPr="00994FD5">
        <w:rPr>
          <w:sz w:val="23"/>
          <w:u w:val="single"/>
        </w:rPr>
        <w:t>OF</w:t>
      </w:r>
      <w:r w:rsidRPr="00994FD5">
        <w:rPr>
          <w:spacing w:val="7"/>
          <w:sz w:val="23"/>
          <w:u w:val="single"/>
        </w:rPr>
        <w:t xml:space="preserve"> </w:t>
      </w:r>
      <w:r w:rsidRPr="00994FD5">
        <w:rPr>
          <w:spacing w:val="-2"/>
          <w:sz w:val="23"/>
          <w:u w:val="single"/>
        </w:rPr>
        <w:t>SERVICE</w:t>
      </w:r>
    </w:p>
    <w:p w14:paraId="39297A65" w14:textId="77777777" w:rsidR="00E37D4F" w:rsidRPr="0046662B" w:rsidRDefault="00E37D4F" w:rsidP="00E37D4F">
      <w:pPr>
        <w:pStyle w:val="BodyText"/>
        <w:spacing w:before="13"/>
        <w:rPr>
          <w:rFonts w:ascii="Times New Roman" w:hAnsi="Times New Roman" w:cs="Times New Roman"/>
          <w:sz w:val="23"/>
        </w:rPr>
      </w:pPr>
    </w:p>
    <w:p w14:paraId="5E477DFD" w14:textId="6084E71B" w:rsidR="00E37D4F" w:rsidRPr="0046662B" w:rsidRDefault="00E37D4F" w:rsidP="00E37D4F">
      <w:pPr>
        <w:ind w:left="624" w:right="953" w:firstLine="712"/>
        <w:rPr>
          <w:sz w:val="23"/>
        </w:rPr>
      </w:pPr>
      <w:r w:rsidRPr="0046662B">
        <w:rPr>
          <w:sz w:val="23"/>
        </w:rPr>
        <w:t>This is to certify</w:t>
      </w:r>
      <w:r w:rsidRPr="0046662B">
        <w:rPr>
          <w:spacing w:val="22"/>
          <w:sz w:val="23"/>
        </w:rPr>
        <w:t xml:space="preserve"> </w:t>
      </w:r>
      <w:r w:rsidRPr="0046662B">
        <w:rPr>
          <w:sz w:val="23"/>
        </w:rPr>
        <w:t xml:space="preserve">that on the 6th day of </w:t>
      </w:r>
      <w:r w:rsidR="00994FD5" w:rsidRPr="0046662B">
        <w:rPr>
          <w:sz w:val="23"/>
        </w:rPr>
        <w:t>November</w:t>
      </w:r>
      <w:r w:rsidRPr="0046662B">
        <w:rPr>
          <w:sz w:val="23"/>
        </w:rPr>
        <w:t xml:space="preserve"> 2025</w:t>
      </w:r>
      <w:r w:rsidRPr="0046662B">
        <w:rPr>
          <w:spacing w:val="22"/>
          <w:sz w:val="23"/>
        </w:rPr>
        <w:t xml:space="preserve"> </w:t>
      </w:r>
      <w:r w:rsidRPr="0046662B">
        <w:rPr>
          <w:sz w:val="23"/>
        </w:rPr>
        <w:t>a true and</w:t>
      </w:r>
      <w:r w:rsidRPr="0046662B">
        <w:rPr>
          <w:spacing w:val="22"/>
          <w:sz w:val="23"/>
        </w:rPr>
        <w:t xml:space="preserve"> </w:t>
      </w:r>
      <w:r w:rsidRPr="0046662B">
        <w:rPr>
          <w:sz w:val="23"/>
        </w:rPr>
        <w:t>correct copy</w:t>
      </w:r>
      <w:r w:rsidRPr="0046662B">
        <w:rPr>
          <w:spacing w:val="21"/>
          <w:sz w:val="23"/>
        </w:rPr>
        <w:t xml:space="preserve"> </w:t>
      </w:r>
      <w:r w:rsidRPr="0046662B">
        <w:rPr>
          <w:sz w:val="23"/>
        </w:rPr>
        <w:t>of the</w:t>
      </w:r>
      <w:r w:rsidRPr="0046662B">
        <w:rPr>
          <w:spacing w:val="34"/>
          <w:sz w:val="23"/>
        </w:rPr>
        <w:t xml:space="preserve"> </w:t>
      </w:r>
      <w:r w:rsidRPr="0046662B">
        <w:rPr>
          <w:sz w:val="23"/>
        </w:rPr>
        <w:t>enclosed</w:t>
      </w:r>
      <w:r w:rsidRPr="0046662B">
        <w:rPr>
          <w:spacing w:val="40"/>
          <w:sz w:val="23"/>
        </w:rPr>
        <w:t xml:space="preserve"> </w:t>
      </w:r>
      <w:r w:rsidRPr="0046662B">
        <w:rPr>
          <w:sz w:val="23"/>
        </w:rPr>
        <w:t>Appeal</w:t>
      </w:r>
      <w:r w:rsidRPr="0046662B">
        <w:rPr>
          <w:spacing w:val="38"/>
          <w:sz w:val="23"/>
        </w:rPr>
        <w:t xml:space="preserve"> </w:t>
      </w:r>
      <w:r w:rsidRPr="0046662B">
        <w:rPr>
          <w:sz w:val="23"/>
        </w:rPr>
        <w:t>Brief</w:t>
      </w:r>
      <w:r w:rsidRPr="0046662B">
        <w:rPr>
          <w:spacing w:val="40"/>
          <w:sz w:val="23"/>
        </w:rPr>
        <w:t xml:space="preserve"> </w:t>
      </w:r>
      <w:r w:rsidRPr="0046662B">
        <w:rPr>
          <w:sz w:val="23"/>
        </w:rPr>
        <w:t>was</w:t>
      </w:r>
      <w:r w:rsidRPr="0046662B">
        <w:rPr>
          <w:spacing w:val="40"/>
          <w:sz w:val="23"/>
        </w:rPr>
        <w:t xml:space="preserve"> </w:t>
      </w:r>
      <w:r w:rsidRPr="0046662B">
        <w:rPr>
          <w:sz w:val="23"/>
        </w:rPr>
        <w:t>mailed</w:t>
      </w:r>
      <w:r w:rsidRPr="0046662B">
        <w:rPr>
          <w:spacing w:val="40"/>
          <w:sz w:val="23"/>
        </w:rPr>
        <w:t xml:space="preserve"> </w:t>
      </w:r>
      <w:r w:rsidRPr="0046662B">
        <w:rPr>
          <w:sz w:val="23"/>
        </w:rPr>
        <w:t>with</w:t>
      </w:r>
      <w:r w:rsidRPr="0046662B">
        <w:rPr>
          <w:spacing w:val="40"/>
          <w:sz w:val="23"/>
        </w:rPr>
        <w:t xml:space="preserve"> </w:t>
      </w:r>
      <w:r w:rsidRPr="0046662B">
        <w:rPr>
          <w:sz w:val="23"/>
        </w:rPr>
        <w:t>proper</w:t>
      </w:r>
      <w:r w:rsidRPr="0046662B">
        <w:rPr>
          <w:spacing w:val="40"/>
          <w:sz w:val="23"/>
        </w:rPr>
        <w:t xml:space="preserve"> </w:t>
      </w:r>
      <w:r w:rsidRPr="0046662B">
        <w:rPr>
          <w:sz w:val="23"/>
        </w:rPr>
        <w:t>postage</w:t>
      </w:r>
      <w:r w:rsidRPr="0046662B">
        <w:rPr>
          <w:spacing w:val="40"/>
          <w:sz w:val="23"/>
        </w:rPr>
        <w:t xml:space="preserve"> </w:t>
      </w:r>
      <w:r w:rsidRPr="0046662B">
        <w:rPr>
          <w:sz w:val="23"/>
        </w:rPr>
        <w:t>affixed</w:t>
      </w:r>
      <w:r w:rsidRPr="0046662B">
        <w:rPr>
          <w:spacing w:val="40"/>
          <w:sz w:val="23"/>
        </w:rPr>
        <w:t xml:space="preserve"> </w:t>
      </w:r>
      <w:r w:rsidRPr="0046662B">
        <w:rPr>
          <w:sz w:val="23"/>
        </w:rPr>
        <w:t>fully</w:t>
      </w:r>
      <w:r w:rsidRPr="0046662B">
        <w:rPr>
          <w:spacing w:val="40"/>
          <w:sz w:val="23"/>
        </w:rPr>
        <w:t xml:space="preserve"> </w:t>
      </w:r>
      <w:r w:rsidRPr="0046662B">
        <w:rPr>
          <w:sz w:val="23"/>
        </w:rPr>
        <w:t>prepaid</w:t>
      </w:r>
      <w:r w:rsidRPr="0046662B">
        <w:rPr>
          <w:spacing w:val="40"/>
          <w:sz w:val="23"/>
        </w:rPr>
        <w:t xml:space="preserve"> </w:t>
      </w:r>
      <w:r w:rsidRPr="0046662B">
        <w:rPr>
          <w:sz w:val="23"/>
        </w:rPr>
        <w:t>to:</w:t>
      </w:r>
    </w:p>
    <w:p w14:paraId="77B93091" w14:textId="4DEFD50C" w:rsidR="00E37D4F" w:rsidRPr="0046662B" w:rsidRDefault="00E37D4F" w:rsidP="00E37D4F">
      <w:pPr>
        <w:pStyle w:val="BodyText"/>
        <w:spacing w:before="13"/>
        <w:rPr>
          <w:rFonts w:ascii="Times New Roman" w:hAnsi="Times New Roman" w:cs="Times New Roman"/>
          <w:sz w:val="23"/>
        </w:rPr>
      </w:pPr>
    </w:p>
    <w:p w14:paraId="03F1FD2E" w14:textId="03E4A159" w:rsidR="00994FD5" w:rsidRDefault="00994FD5" w:rsidP="00E37D4F">
      <w:pPr>
        <w:spacing w:line="242" w:lineRule="auto"/>
        <w:ind w:left="4590" w:right="2340" w:hanging="1"/>
        <w:jc w:val="both"/>
        <w:rPr>
          <w:sz w:val="23"/>
        </w:rPr>
      </w:pPr>
    </w:p>
    <w:p w14:paraId="5E798C5F" w14:textId="220779DA" w:rsidR="00994FD5" w:rsidRDefault="00994FD5" w:rsidP="00E37D4F">
      <w:pPr>
        <w:spacing w:line="242" w:lineRule="auto"/>
        <w:ind w:left="4590" w:right="2340" w:hanging="1"/>
        <w:jc w:val="both"/>
        <w:rPr>
          <w:sz w:val="23"/>
        </w:rPr>
      </w:pPr>
    </w:p>
    <w:p w14:paraId="5AA94E35" w14:textId="3416E63A" w:rsidR="00994FD5" w:rsidRDefault="00994FD5" w:rsidP="00E37D4F">
      <w:pPr>
        <w:spacing w:line="242" w:lineRule="auto"/>
        <w:ind w:left="4590" w:right="2340" w:hanging="1"/>
        <w:jc w:val="both"/>
        <w:rPr>
          <w:sz w:val="23"/>
        </w:rPr>
      </w:pPr>
    </w:p>
    <w:p w14:paraId="67166975" w14:textId="5E2DDA26" w:rsidR="00994FD5" w:rsidRDefault="00994FD5" w:rsidP="00E37D4F">
      <w:pPr>
        <w:spacing w:line="242" w:lineRule="auto"/>
        <w:ind w:left="4590" w:right="2340" w:hanging="1"/>
        <w:jc w:val="both"/>
        <w:rPr>
          <w:sz w:val="23"/>
        </w:rPr>
      </w:pPr>
    </w:p>
    <w:p w14:paraId="4252EA17" w14:textId="77777777" w:rsidR="00994FD5" w:rsidRDefault="00994FD5" w:rsidP="00E37D4F">
      <w:pPr>
        <w:spacing w:line="242" w:lineRule="auto"/>
        <w:ind w:left="4590" w:right="2340" w:hanging="1"/>
        <w:jc w:val="both"/>
        <w:rPr>
          <w:sz w:val="23"/>
        </w:rPr>
      </w:pPr>
    </w:p>
    <w:p w14:paraId="57F779DA" w14:textId="77777777" w:rsidR="00994FD5" w:rsidRDefault="00994FD5" w:rsidP="00E37D4F">
      <w:pPr>
        <w:spacing w:line="242" w:lineRule="auto"/>
        <w:ind w:left="4590" w:right="2340" w:hanging="1"/>
        <w:jc w:val="both"/>
        <w:rPr>
          <w:sz w:val="23"/>
        </w:rPr>
      </w:pPr>
    </w:p>
    <w:p w14:paraId="4D200D17" w14:textId="18F6620A" w:rsidR="00994FD5" w:rsidRDefault="00994FD5" w:rsidP="00E37D4F">
      <w:pPr>
        <w:spacing w:line="242" w:lineRule="auto"/>
        <w:ind w:left="4590" w:right="2340" w:hanging="1"/>
        <w:jc w:val="both"/>
        <w:rPr>
          <w:sz w:val="23"/>
        </w:rPr>
      </w:pPr>
      <w:r w:rsidRPr="0046662B">
        <w:rPr>
          <w:noProof/>
          <w:sz w:val="20"/>
        </w:rPr>
        <mc:AlternateContent>
          <mc:Choice Requires="wps">
            <w:drawing>
              <wp:anchor distT="0" distB="0" distL="0" distR="0" simplePos="0" relativeHeight="487592960" behindDoc="1" locked="0" layoutInCell="1" allowOverlap="1" wp14:anchorId="2D75CF24" wp14:editId="556F0CB4">
                <wp:simplePos x="0" y="0"/>
                <wp:positionH relativeFrom="page">
                  <wp:posOffset>3543300</wp:posOffset>
                </wp:positionH>
                <wp:positionV relativeFrom="paragraph">
                  <wp:posOffset>294640</wp:posOffset>
                </wp:positionV>
                <wp:extent cx="2781300" cy="45085"/>
                <wp:effectExtent l="0" t="0" r="12700" b="0"/>
                <wp:wrapTopAndBottom/>
                <wp:docPr id="2642334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2781300" cy="45085"/>
                        </a:xfrm>
                        <a:custGeom>
                          <a:avLst/>
                          <a:gdLst/>
                          <a:ahLst/>
                          <a:cxnLst/>
                          <a:rect l="l" t="t" r="r" b="b"/>
                          <a:pathLst>
                            <a:path w="3223260">
                              <a:moveTo>
                                <a:pt x="0" y="0"/>
                              </a:moveTo>
                              <a:lnTo>
                                <a:pt x="3222695" y="0"/>
                              </a:lnTo>
                            </a:path>
                          </a:pathLst>
                        </a:custGeom>
                        <a:ln w="9152">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4D4DC" id="Graphic 5" o:spid="_x0000_s1026" style="position:absolute;margin-left:279pt;margin-top:23.2pt;width:219pt;height:3.55pt;flip:y;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3223260,450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" path="m,l3222695,e" filled="f" strokeweight=".25422mm">
                <v:path arrowok="t"/>
                <w10:wrap type="topAndBottom" anchorx="page"/>
              </v:shape>
            </w:pict>
          </mc:Fallback>
        </mc:AlternateContent>
      </w:r>
    </w:p>
    <w:p w14:paraId="476F90CD" w14:textId="03922732" w:rsidR="00994FD5" w:rsidRDefault="00994FD5" w:rsidP="00E37D4F">
      <w:pPr>
        <w:spacing w:line="242" w:lineRule="auto"/>
        <w:ind w:left="4590" w:right="2340" w:hanging="1"/>
        <w:jc w:val="both"/>
        <w:rPr>
          <w:sz w:val="23"/>
        </w:rPr>
      </w:pPr>
    </w:p>
    <w:p w14:paraId="16892CD4" w14:textId="3A002EF7" w:rsidR="00E37D4F" w:rsidRPr="0046662B" w:rsidRDefault="00E37D4F" w:rsidP="00E37D4F">
      <w:pPr>
        <w:spacing w:line="242" w:lineRule="auto"/>
        <w:ind w:left="4590" w:right="2340" w:hanging="1"/>
        <w:jc w:val="both"/>
        <w:rPr>
          <w:sz w:val="23"/>
        </w:rPr>
      </w:pPr>
      <w:r w:rsidRPr="0046662B">
        <w:rPr>
          <w:sz w:val="23"/>
        </w:rPr>
        <w:t>G. Mark Hopkins, Esq. Hopkins, Eliot &amp; Jones Attorneys at Law</w:t>
      </w:r>
    </w:p>
    <w:p w14:paraId="62857CFA" w14:textId="7C95FCD4" w:rsidR="00994FD5" w:rsidRDefault="00E37D4F" w:rsidP="00E37D4F">
      <w:pPr>
        <w:ind w:left="4590" w:right="2340" w:hanging="3"/>
        <w:jc w:val="both"/>
        <w:rPr>
          <w:sz w:val="23"/>
        </w:rPr>
      </w:pPr>
      <w:r w:rsidRPr="0046662B">
        <w:rPr>
          <w:sz w:val="23"/>
        </w:rPr>
        <w:t>567</w:t>
      </w:r>
      <w:r>
        <w:rPr>
          <w:sz w:val="23"/>
        </w:rPr>
        <w:t xml:space="preserve"> </w:t>
      </w:r>
      <w:r w:rsidRPr="0046662B">
        <w:rPr>
          <w:sz w:val="23"/>
        </w:rPr>
        <w:t xml:space="preserve">Harrison Place South </w:t>
      </w:r>
    </w:p>
    <w:p w14:paraId="6E6709CB" w14:textId="0E72D638" w:rsidR="00E37D4F" w:rsidRPr="00994FD5" w:rsidRDefault="00E37D4F" w:rsidP="00994FD5">
      <w:pPr>
        <w:ind w:left="4590" w:right="2340" w:hanging="3"/>
        <w:jc w:val="both"/>
        <w:rPr>
          <w:sz w:val="23"/>
        </w:rPr>
        <w:sectPr w:rsidR="00E37D4F" w:rsidRPr="00994FD5">
          <w:type w:val="continuous"/>
          <w:pgSz w:w="12240" w:h="15840"/>
          <w:pgMar w:top="1820" w:right="1080" w:bottom="280" w:left="1080" w:header="720" w:footer="720" w:gutter="0"/>
          <w:cols w:space="720"/>
        </w:sectPr>
      </w:pPr>
      <w:r w:rsidRPr="0046662B">
        <w:rPr>
          <w:sz w:val="23"/>
        </w:rPr>
        <w:t>Corpus Christi, Texas</w:t>
      </w:r>
      <w:r>
        <w:rPr>
          <w:sz w:val="23"/>
        </w:rPr>
        <w:t xml:space="preserve"> </w:t>
      </w:r>
      <w:r w:rsidRPr="0046662B">
        <w:rPr>
          <w:sz w:val="23"/>
        </w:rPr>
        <w:t>7847</w:t>
      </w:r>
    </w:p>
    <w:p w14:paraId="4988D2BB" w14:textId="43201AAA" w:rsidR="000117AD" w:rsidRPr="0046662B" w:rsidRDefault="000117AD">
      <w:pPr>
        <w:pStyle w:val="BodyText"/>
        <w:spacing w:before="57"/>
        <w:rPr>
          <w:rFonts w:ascii="Times New Roman" w:hAnsi="Times New Roman" w:cs="Times New Roman"/>
          <w:sz w:val="20"/>
        </w:rPr>
      </w:pPr>
    </w:p>
    <w:sectPr w:rsidR="000117AD" w:rsidRPr="0046662B">
      <w:pgSz w:w="12240" w:h="15840"/>
      <w:pgMar w:top="1320" w:right="108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2D374" w14:textId="77777777" w:rsidR="003B35E1" w:rsidRDefault="003B35E1" w:rsidP="00806AB2">
      <w:r>
        <w:separator/>
      </w:r>
    </w:p>
  </w:endnote>
  <w:endnote w:type="continuationSeparator" w:id="0">
    <w:p w14:paraId="4EBE0653" w14:textId="77777777" w:rsidR="003B35E1" w:rsidRDefault="003B35E1" w:rsidP="00806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9737375"/>
      <w:docPartObj>
        <w:docPartGallery w:val="Page Numbers (Bottom of Page)"/>
        <w:docPartUnique/>
      </w:docPartObj>
    </w:sdtPr>
    <w:sdtContent>
      <w:p w14:paraId="7164189E" w14:textId="3DE3DD29" w:rsidR="00021407" w:rsidRDefault="00021407" w:rsidP="003C3E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FA538C" w14:textId="77777777" w:rsidR="00021407" w:rsidRDefault="00021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4876728"/>
      <w:docPartObj>
        <w:docPartGallery w:val="Page Numbers (Bottom of Page)"/>
        <w:docPartUnique/>
      </w:docPartObj>
    </w:sdtPr>
    <w:sdtContent>
      <w:p w14:paraId="776DCF8A" w14:textId="4B968AA8" w:rsidR="00021407" w:rsidRDefault="00021407" w:rsidP="003C3E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767E29F" w14:textId="77777777" w:rsidR="00021407" w:rsidRDefault="00021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246BC" w14:textId="77777777" w:rsidR="003B35E1" w:rsidRDefault="003B35E1" w:rsidP="00806AB2">
      <w:r>
        <w:separator/>
      </w:r>
    </w:p>
  </w:footnote>
  <w:footnote w:type="continuationSeparator" w:id="0">
    <w:p w14:paraId="6CB90BEC" w14:textId="77777777" w:rsidR="003B35E1" w:rsidRDefault="003B35E1" w:rsidP="00806A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A2383"/>
    <w:multiLevelType w:val="hybridMultilevel"/>
    <w:tmpl w:val="45926856"/>
    <w:lvl w:ilvl="0" w:tplc="4B4E5384">
      <w:start w:val="1"/>
      <w:numFmt w:val="upperLetter"/>
      <w:lvlText w:val="%1."/>
      <w:lvlJc w:val="left"/>
      <w:pPr>
        <w:ind w:left="692" w:hanging="333"/>
      </w:pPr>
      <w:rPr>
        <w:rFonts w:ascii="Arial" w:eastAsia="Arial" w:hAnsi="Arial" w:cs="Arial" w:hint="default"/>
        <w:b/>
        <w:bCs/>
        <w:i w:val="0"/>
        <w:iCs w:val="0"/>
        <w:spacing w:val="0"/>
        <w:w w:val="99"/>
        <w:sz w:val="26"/>
        <w:szCs w:val="26"/>
        <w:lang w:val="en-US" w:eastAsia="en-US" w:bidi="ar-SA"/>
      </w:rPr>
    </w:lvl>
    <w:lvl w:ilvl="1" w:tplc="6A3CF04A">
      <w:start w:val="1"/>
      <w:numFmt w:val="decimal"/>
      <w:lvlText w:val="%2."/>
      <w:lvlJc w:val="left"/>
      <w:pPr>
        <w:ind w:left="1080" w:hanging="360"/>
      </w:pPr>
      <w:rPr>
        <w:rFonts w:ascii="Arial" w:eastAsia="Arial" w:hAnsi="Arial" w:cs="Arial" w:hint="default"/>
        <w:b w:val="0"/>
        <w:bCs w:val="0"/>
        <w:i w:val="0"/>
        <w:iCs w:val="0"/>
        <w:spacing w:val="-1"/>
        <w:w w:val="100"/>
        <w:sz w:val="22"/>
        <w:szCs w:val="22"/>
        <w:lang w:val="en-US" w:eastAsia="en-US" w:bidi="ar-SA"/>
      </w:rPr>
    </w:lvl>
    <w:lvl w:ilvl="2" w:tplc="E55EF434">
      <w:numFmt w:val="bullet"/>
      <w:lvlText w:val="○"/>
      <w:lvlJc w:val="left"/>
      <w:pPr>
        <w:ind w:left="1800" w:hanging="360"/>
      </w:pPr>
      <w:rPr>
        <w:rFonts w:ascii="Arial" w:eastAsia="Arial" w:hAnsi="Arial" w:cs="Arial" w:hint="default"/>
        <w:b w:val="0"/>
        <w:bCs w:val="0"/>
        <w:i w:val="0"/>
        <w:iCs w:val="0"/>
        <w:spacing w:val="0"/>
        <w:w w:val="100"/>
        <w:sz w:val="22"/>
        <w:szCs w:val="22"/>
        <w:lang w:val="en-US" w:eastAsia="en-US" w:bidi="ar-SA"/>
      </w:rPr>
    </w:lvl>
    <w:lvl w:ilvl="3" w:tplc="1174D22C">
      <w:numFmt w:val="bullet"/>
      <w:lvlText w:val="•"/>
      <w:lvlJc w:val="left"/>
      <w:pPr>
        <w:ind w:left="2835" w:hanging="360"/>
      </w:pPr>
      <w:rPr>
        <w:rFonts w:hint="default"/>
        <w:lang w:val="en-US" w:eastAsia="en-US" w:bidi="ar-SA"/>
      </w:rPr>
    </w:lvl>
    <w:lvl w:ilvl="4" w:tplc="57B4FD14">
      <w:numFmt w:val="bullet"/>
      <w:lvlText w:val="•"/>
      <w:lvlJc w:val="left"/>
      <w:pPr>
        <w:ind w:left="3870" w:hanging="360"/>
      </w:pPr>
      <w:rPr>
        <w:rFonts w:hint="default"/>
        <w:lang w:val="en-US" w:eastAsia="en-US" w:bidi="ar-SA"/>
      </w:rPr>
    </w:lvl>
    <w:lvl w:ilvl="5" w:tplc="83A0284C">
      <w:numFmt w:val="bullet"/>
      <w:lvlText w:val="•"/>
      <w:lvlJc w:val="left"/>
      <w:pPr>
        <w:ind w:left="4905" w:hanging="360"/>
      </w:pPr>
      <w:rPr>
        <w:rFonts w:hint="default"/>
        <w:lang w:val="en-US" w:eastAsia="en-US" w:bidi="ar-SA"/>
      </w:rPr>
    </w:lvl>
    <w:lvl w:ilvl="6" w:tplc="2F7029BE">
      <w:numFmt w:val="bullet"/>
      <w:lvlText w:val="•"/>
      <w:lvlJc w:val="left"/>
      <w:pPr>
        <w:ind w:left="5940" w:hanging="360"/>
      </w:pPr>
      <w:rPr>
        <w:rFonts w:hint="default"/>
        <w:lang w:val="en-US" w:eastAsia="en-US" w:bidi="ar-SA"/>
      </w:rPr>
    </w:lvl>
    <w:lvl w:ilvl="7" w:tplc="C416F9C6">
      <w:numFmt w:val="bullet"/>
      <w:lvlText w:val="•"/>
      <w:lvlJc w:val="left"/>
      <w:pPr>
        <w:ind w:left="6975" w:hanging="360"/>
      </w:pPr>
      <w:rPr>
        <w:rFonts w:hint="default"/>
        <w:lang w:val="en-US" w:eastAsia="en-US" w:bidi="ar-SA"/>
      </w:rPr>
    </w:lvl>
    <w:lvl w:ilvl="8" w:tplc="A9E2E88E">
      <w:numFmt w:val="bullet"/>
      <w:lvlText w:val="•"/>
      <w:lvlJc w:val="left"/>
      <w:pPr>
        <w:ind w:left="8010" w:hanging="360"/>
      </w:pPr>
      <w:rPr>
        <w:rFonts w:hint="default"/>
        <w:lang w:val="en-US" w:eastAsia="en-US" w:bidi="ar-SA"/>
      </w:rPr>
    </w:lvl>
  </w:abstractNum>
  <w:abstractNum w:abstractNumId="1" w15:restartNumberingAfterBreak="0">
    <w:nsid w:val="0FB2652D"/>
    <w:multiLevelType w:val="hybridMultilevel"/>
    <w:tmpl w:val="C6FAF088"/>
    <w:lvl w:ilvl="0" w:tplc="47E468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00075C"/>
    <w:multiLevelType w:val="hybridMultilevel"/>
    <w:tmpl w:val="E5D234CA"/>
    <w:lvl w:ilvl="0" w:tplc="7812E6A8">
      <w:start w:val="1"/>
      <w:numFmt w:val="upperRoman"/>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6D139E"/>
    <w:multiLevelType w:val="multilevel"/>
    <w:tmpl w:val="9D181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122AF1"/>
    <w:multiLevelType w:val="hybridMultilevel"/>
    <w:tmpl w:val="7EDA00A6"/>
    <w:lvl w:ilvl="0" w:tplc="6F8479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A7D28"/>
    <w:multiLevelType w:val="hybridMultilevel"/>
    <w:tmpl w:val="729E819C"/>
    <w:lvl w:ilvl="0" w:tplc="C9C896A8">
      <w:start w:val="1"/>
      <w:numFmt w:val="upperRoman"/>
      <w:lvlText w:val="%1."/>
      <w:lvlJc w:val="left"/>
      <w:pPr>
        <w:ind w:left="543" w:hanging="184"/>
      </w:pPr>
      <w:rPr>
        <w:rFonts w:ascii="Arial" w:eastAsia="Arial" w:hAnsi="Arial" w:cs="Arial" w:hint="default"/>
        <w:b w:val="0"/>
        <w:bCs w:val="0"/>
        <w:i w:val="0"/>
        <w:iCs w:val="0"/>
        <w:spacing w:val="-1"/>
        <w:w w:val="100"/>
        <w:sz w:val="22"/>
        <w:szCs w:val="22"/>
        <w:lang w:val="en-US" w:eastAsia="en-US" w:bidi="ar-SA"/>
      </w:rPr>
    </w:lvl>
    <w:lvl w:ilvl="1" w:tplc="568ED646">
      <w:start w:val="1"/>
      <w:numFmt w:val="decimal"/>
      <w:lvlText w:val="%2."/>
      <w:lvlJc w:val="left"/>
      <w:pPr>
        <w:ind w:left="1080" w:hanging="360"/>
      </w:pPr>
      <w:rPr>
        <w:rFonts w:ascii="Arial" w:eastAsia="Arial" w:hAnsi="Arial" w:cs="Arial" w:hint="default"/>
        <w:b w:val="0"/>
        <w:bCs w:val="0"/>
        <w:i w:val="0"/>
        <w:iCs w:val="0"/>
        <w:spacing w:val="-1"/>
        <w:w w:val="100"/>
        <w:sz w:val="22"/>
        <w:szCs w:val="22"/>
        <w:lang w:val="en-US" w:eastAsia="en-US" w:bidi="ar-SA"/>
      </w:rPr>
    </w:lvl>
    <w:lvl w:ilvl="2" w:tplc="F26A814C">
      <w:numFmt w:val="bullet"/>
      <w:lvlText w:val="•"/>
      <w:lvlJc w:val="left"/>
      <w:pPr>
        <w:ind w:left="2080" w:hanging="360"/>
      </w:pPr>
      <w:rPr>
        <w:rFonts w:hint="default"/>
        <w:lang w:val="en-US" w:eastAsia="en-US" w:bidi="ar-SA"/>
      </w:rPr>
    </w:lvl>
    <w:lvl w:ilvl="3" w:tplc="CE68FA20">
      <w:numFmt w:val="bullet"/>
      <w:lvlText w:val="•"/>
      <w:lvlJc w:val="left"/>
      <w:pPr>
        <w:ind w:left="3080" w:hanging="360"/>
      </w:pPr>
      <w:rPr>
        <w:rFonts w:hint="default"/>
        <w:lang w:val="en-US" w:eastAsia="en-US" w:bidi="ar-SA"/>
      </w:rPr>
    </w:lvl>
    <w:lvl w:ilvl="4" w:tplc="269A6540">
      <w:numFmt w:val="bullet"/>
      <w:lvlText w:val="•"/>
      <w:lvlJc w:val="left"/>
      <w:pPr>
        <w:ind w:left="4080" w:hanging="360"/>
      </w:pPr>
      <w:rPr>
        <w:rFonts w:hint="default"/>
        <w:lang w:val="en-US" w:eastAsia="en-US" w:bidi="ar-SA"/>
      </w:rPr>
    </w:lvl>
    <w:lvl w:ilvl="5" w:tplc="CC72DFFA">
      <w:numFmt w:val="bullet"/>
      <w:lvlText w:val="•"/>
      <w:lvlJc w:val="left"/>
      <w:pPr>
        <w:ind w:left="5080" w:hanging="360"/>
      </w:pPr>
      <w:rPr>
        <w:rFonts w:hint="default"/>
        <w:lang w:val="en-US" w:eastAsia="en-US" w:bidi="ar-SA"/>
      </w:rPr>
    </w:lvl>
    <w:lvl w:ilvl="6" w:tplc="215E7E1C">
      <w:numFmt w:val="bullet"/>
      <w:lvlText w:val="•"/>
      <w:lvlJc w:val="left"/>
      <w:pPr>
        <w:ind w:left="6080" w:hanging="360"/>
      </w:pPr>
      <w:rPr>
        <w:rFonts w:hint="default"/>
        <w:lang w:val="en-US" w:eastAsia="en-US" w:bidi="ar-SA"/>
      </w:rPr>
    </w:lvl>
    <w:lvl w:ilvl="7" w:tplc="5DE4735E">
      <w:numFmt w:val="bullet"/>
      <w:lvlText w:val="•"/>
      <w:lvlJc w:val="left"/>
      <w:pPr>
        <w:ind w:left="7080" w:hanging="360"/>
      </w:pPr>
      <w:rPr>
        <w:rFonts w:hint="default"/>
        <w:lang w:val="en-US" w:eastAsia="en-US" w:bidi="ar-SA"/>
      </w:rPr>
    </w:lvl>
    <w:lvl w:ilvl="8" w:tplc="6B0ABD8A">
      <w:numFmt w:val="bullet"/>
      <w:lvlText w:val="•"/>
      <w:lvlJc w:val="left"/>
      <w:pPr>
        <w:ind w:left="8080" w:hanging="360"/>
      </w:pPr>
      <w:rPr>
        <w:rFonts w:hint="default"/>
        <w:lang w:val="en-US" w:eastAsia="en-US" w:bidi="ar-SA"/>
      </w:rPr>
    </w:lvl>
  </w:abstractNum>
  <w:num w:numId="1" w16cid:durableId="1773554005">
    <w:abstractNumId w:val="0"/>
  </w:num>
  <w:num w:numId="2" w16cid:durableId="332685855">
    <w:abstractNumId w:val="5"/>
  </w:num>
  <w:num w:numId="3" w16cid:durableId="34280162">
    <w:abstractNumId w:val="3"/>
  </w:num>
  <w:num w:numId="4" w16cid:durableId="1662000397">
    <w:abstractNumId w:val="1"/>
  </w:num>
  <w:num w:numId="5" w16cid:durableId="443572571">
    <w:abstractNumId w:val="2"/>
  </w:num>
  <w:num w:numId="6" w16cid:durableId="939413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7AD"/>
    <w:rsid w:val="000117AD"/>
    <w:rsid w:val="00021407"/>
    <w:rsid w:val="0010685D"/>
    <w:rsid w:val="001E2F2B"/>
    <w:rsid w:val="003222D9"/>
    <w:rsid w:val="003B35E1"/>
    <w:rsid w:val="0041709B"/>
    <w:rsid w:val="0046662B"/>
    <w:rsid w:val="005242C0"/>
    <w:rsid w:val="006133E8"/>
    <w:rsid w:val="006D456A"/>
    <w:rsid w:val="006E103E"/>
    <w:rsid w:val="00703A6F"/>
    <w:rsid w:val="007567F7"/>
    <w:rsid w:val="007E143C"/>
    <w:rsid w:val="00806AB2"/>
    <w:rsid w:val="00841278"/>
    <w:rsid w:val="00851437"/>
    <w:rsid w:val="0086330D"/>
    <w:rsid w:val="00994FD5"/>
    <w:rsid w:val="00A2716D"/>
    <w:rsid w:val="00A64AD3"/>
    <w:rsid w:val="00B06F04"/>
    <w:rsid w:val="00B72572"/>
    <w:rsid w:val="00B847AF"/>
    <w:rsid w:val="00CD34F9"/>
    <w:rsid w:val="00CD4C64"/>
    <w:rsid w:val="00D172C9"/>
    <w:rsid w:val="00DE0BDA"/>
    <w:rsid w:val="00DF0E72"/>
    <w:rsid w:val="00E11C45"/>
    <w:rsid w:val="00E37D4F"/>
    <w:rsid w:val="00E63E9C"/>
    <w:rsid w:val="00FC51F3"/>
    <w:rsid w:val="00FF3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807FF"/>
  <w15:docId w15:val="{46CF114A-3681-214C-A402-DB7FA3F92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C45"/>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9"/>
    <w:qFormat/>
    <w:pPr>
      <w:ind w:left="360"/>
      <w:outlineLvl w:val="0"/>
    </w:pPr>
    <w:rPr>
      <w:rFonts w:ascii="Arial" w:eastAsia="Arial" w:hAnsi="Arial" w:cs="Arial"/>
      <w:b/>
      <w:bCs/>
      <w:sz w:val="34"/>
      <w:szCs w:val="34"/>
    </w:rPr>
  </w:style>
  <w:style w:type="paragraph" w:styleId="Heading2">
    <w:name w:val="heading 2"/>
    <w:basedOn w:val="Normal"/>
    <w:link w:val="Heading2Char"/>
    <w:uiPriority w:val="9"/>
    <w:unhideWhenUsed/>
    <w:qFormat/>
    <w:pPr>
      <w:ind w:left="691" w:hanging="331"/>
      <w:outlineLvl w:val="1"/>
    </w:pPr>
    <w:rPr>
      <w:rFonts w:ascii="Arial" w:eastAsia="Arial" w:hAnsi="Arial" w:cs="Arial"/>
      <w:b/>
      <w:bCs/>
      <w:sz w:val="26"/>
      <w:szCs w:val="26"/>
    </w:rPr>
  </w:style>
  <w:style w:type="paragraph" w:styleId="Heading3">
    <w:name w:val="heading 3"/>
    <w:basedOn w:val="Normal"/>
    <w:link w:val="Heading3Char"/>
    <w:uiPriority w:val="9"/>
    <w:unhideWhenUsed/>
    <w:qFormat/>
    <w:pPr>
      <w:ind w:left="1078" w:hanging="358"/>
      <w:outlineLvl w:val="2"/>
    </w:pPr>
    <w:rPr>
      <w:rFonts w:ascii="Arial" w:eastAsia="Arial" w:hAnsi="Arial" w:cs="Arial"/>
      <w:b/>
      <w:bCs/>
      <w:sz w:val="22"/>
      <w:szCs w:val="22"/>
    </w:rPr>
  </w:style>
  <w:style w:type="paragraph" w:styleId="Heading4">
    <w:name w:val="heading 4"/>
    <w:basedOn w:val="Normal"/>
    <w:next w:val="Normal"/>
    <w:link w:val="Heading4Char"/>
    <w:uiPriority w:val="9"/>
    <w:unhideWhenUsed/>
    <w:qFormat/>
    <w:rsid w:val="0046662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sz w:val="22"/>
      <w:szCs w:val="22"/>
    </w:rPr>
  </w:style>
  <w:style w:type="paragraph" w:styleId="Title">
    <w:name w:val="Title"/>
    <w:basedOn w:val="Normal"/>
    <w:uiPriority w:val="10"/>
    <w:qFormat/>
    <w:pPr>
      <w:spacing w:before="1"/>
      <w:ind w:right="719"/>
      <w:jc w:val="center"/>
    </w:pPr>
    <w:rPr>
      <w:b/>
      <w:bCs/>
      <w:sz w:val="48"/>
      <w:szCs w:val="48"/>
    </w:rPr>
  </w:style>
  <w:style w:type="paragraph" w:styleId="ListParagraph">
    <w:name w:val="List Paragraph"/>
    <w:basedOn w:val="Normal"/>
    <w:uiPriority w:val="1"/>
    <w:qFormat/>
    <w:pPr>
      <w:ind w:left="1799" w:hanging="359"/>
    </w:pPr>
    <w:rPr>
      <w:rFonts w:ascii="Arial" w:eastAsia="Arial" w:hAnsi="Arial" w:cs="Arial"/>
    </w:rPr>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rsid w:val="0046662B"/>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46662B"/>
    <w:rPr>
      <w:b/>
      <w:bCs/>
    </w:rPr>
  </w:style>
  <w:style w:type="paragraph" w:styleId="NormalWeb">
    <w:name w:val="Normal (Web)"/>
    <w:basedOn w:val="Normal"/>
    <w:uiPriority w:val="99"/>
    <w:unhideWhenUsed/>
    <w:rsid w:val="0046662B"/>
    <w:pPr>
      <w:spacing w:before="100" w:beforeAutospacing="1" w:after="100" w:afterAutospacing="1"/>
    </w:pPr>
  </w:style>
  <w:style w:type="character" w:customStyle="1" w:styleId="apple-converted-space">
    <w:name w:val="apple-converted-space"/>
    <w:basedOn w:val="DefaultParagraphFont"/>
    <w:rsid w:val="0046662B"/>
  </w:style>
  <w:style w:type="character" w:styleId="Emphasis">
    <w:name w:val="Emphasis"/>
    <w:basedOn w:val="DefaultParagraphFont"/>
    <w:uiPriority w:val="20"/>
    <w:qFormat/>
    <w:rsid w:val="0046662B"/>
    <w:rPr>
      <w:i/>
      <w:iCs/>
    </w:rPr>
  </w:style>
  <w:style w:type="character" w:customStyle="1" w:styleId="relative">
    <w:name w:val="relative"/>
    <w:basedOn w:val="DefaultParagraphFont"/>
    <w:rsid w:val="00851437"/>
  </w:style>
  <w:style w:type="paragraph" w:customStyle="1" w:styleId="not-prose">
    <w:name w:val="not-prose"/>
    <w:basedOn w:val="Normal"/>
    <w:rsid w:val="00851437"/>
    <w:pPr>
      <w:spacing w:before="100" w:beforeAutospacing="1" w:after="100" w:afterAutospacing="1"/>
    </w:pPr>
  </w:style>
  <w:style w:type="character" w:customStyle="1" w:styleId="Heading3Char">
    <w:name w:val="Heading 3 Char"/>
    <w:basedOn w:val="DefaultParagraphFont"/>
    <w:link w:val="Heading3"/>
    <w:uiPriority w:val="9"/>
    <w:rsid w:val="00B06F04"/>
    <w:rPr>
      <w:rFonts w:ascii="Arial" w:eastAsia="Arial" w:hAnsi="Arial" w:cs="Arial"/>
      <w:b/>
      <w:bCs/>
    </w:rPr>
  </w:style>
  <w:style w:type="character" w:customStyle="1" w:styleId="Heading2Char">
    <w:name w:val="Heading 2 Char"/>
    <w:basedOn w:val="DefaultParagraphFont"/>
    <w:link w:val="Heading2"/>
    <w:uiPriority w:val="9"/>
    <w:rsid w:val="00E11C45"/>
    <w:rPr>
      <w:rFonts w:ascii="Arial" w:eastAsia="Arial" w:hAnsi="Arial" w:cs="Arial"/>
      <w:b/>
      <w:bCs/>
      <w:sz w:val="26"/>
      <w:szCs w:val="26"/>
    </w:rPr>
  </w:style>
  <w:style w:type="paragraph" w:styleId="Header">
    <w:name w:val="header"/>
    <w:basedOn w:val="Normal"/>
    <w:link w:val="HeaderChar"/>
    <w:uiPriority w:val="99"/>
    <w:unhideWhenUsed/>
    <w:rsid w:val="00806AB2"/>
    <w:pPr>
      <w:tabs>
        <w:tab w:val="center" w:pos="4680"/>
        <w:tab w:val="right" w:pos="9360"/>
      </w:tabs>
    </w:pPr>
  </w:style>
  <w:style w:type="character" w:customStyle="1" w:styleId="HeaderChar">
    <w:name w:val="Header Char"/>
    <w:basedOn w:val="DefaultParagraphFont"/>
    <w:link w:val="Header"/>
    <w:uiPriority w:val="99"/>
    <w:rsid w:val="00806AB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06AB2"/>
    <w:pPr>
      <w:tabs>
        <w:tab w:val="center" w:pos="4680"/>
        <w:tab w:val="right" w:pos="9360"/>
      </w:tabs>
    </w:pPr>
  </w:style>
  <w:style w:type="character" w:customStyle="1" w:styleId="FooterChar">
    <w:name w:val="Footer Char"/>
    <w:basedOn w:val="DefaultParagraphFont"/>
    <w:link w:val="Footer"/>
    <w:uiPriority w:val="99"/>
    <w:rsid w:val="00806AB2"/>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806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onrad@conrad.com" TargetMode="External"/><Relationship Id="rId4" Type="http://schemas.openxmlformats.org/officeDocument/2006/relationships/webSettings" Target="webSettings.xml"/><Relationship Id="rId9" Type="http://schemas.openxmlformats.org/officeDocument/2006/relationships/hyperlink" Target="mailto:Rebecca-conrad@cclawte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3503</Words>
  <Characters>19973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Anderson, Sierralynn</cp:lastModifiedBy>
  <cp:revision>3</cp:revision>
  <cp:lastPrinted>2025-11-04T15:09:00Z</cp:lastPrinted>
  <dcterms:created xsi:type="dcterms:W3CDTF">2025-11-06T14:51:00Z</dcterms:created>
  <dcterms:modified xsi:type="dcterms:W3CDTF">2025-11-06T14:52:00Z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2025-11-04T00:00:00Z</vt:filetime>
  </property>
  <property fmtid="{D5CDD505-2E9C-101B-9397-08002B2CF9AE}" pid="3" name="Creator">
    <vt:lpwstr>Adobe Acrobat 25.1.20756</vt:lpwstr>
  </property>
  <property fmtid="{D5CDD505-2E9C-101B-9397-08002B2CF9AE}" pid="4" name="LastSaved">
    <vt:filetime>2025-11-04T00:00:00Z</vt:filetime>
  </property>
  <property fmtid="{D5CDD505-2E9C-101B-9397-08002B2CF9AE}" pid="5" name="Producer">
    <vt:lpwstr>Acrobat PDFMaker 15 for Word</vt:lpwstr>
  </property>
</Properties>
</file>