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3074D1" w:rsidRDefault="00000000">
      <w:pPr>
        <w:pStyle w:val="Title"/>
        <w:jc w:val="center"/>
        <w:rPr>
          <w:sz w:val="34"/>
          <w:szCs w:val="34"/>
        </w:rPr>
      </w:pPr>
      <w:bookmarkStart w:id="0" w:name="_g3mqm37chfd4" w:colFirst="0" w:colLast="0"/>
      <w:bookmarkEnd w:id="0"/>
      <w:r>
        <w:rPr>
          <w:sz w:val="34"/>
          <w:szCs w:val="34"/>
        </w:rPr>
        <w:t xml:space="preserve">The Major Questions Doctrine and the Future of EPA Climate Regulation: </w:t>
      </w:r>
      <w:r>
        <w:rPr>
          <w:b w:val="0"/>
          <w:bCs w:val="0"/>
          <w:sz w:val="34"/>
          <w:szCs w:val="34"/>
        </w:rPr>
        <w:t>Statutory Interpretation, Agency Authority, and the Limits of Environmental Governance</w:t>
      </w:r>
    </w:p>
    <w:p w14:paraId="00000002" w14:textId="77777777" w:rsidR="003074D1" w:rsidRDefault="003074D1"/>
    <w:p w14:paraId="00000003" w14:textId="77777777" w:rsidR="003074D1" w:rsidRDefault="003074D1"/>
    <w:p w14:paraId="00000004" w14:textId="77777777" w:rsidR="003074D1" w:rsidRDefault="00000000">
      <w:pPr>
        <w:jc w:val="center"/>
        <w:rPr>
          <w:sz w:val="24"/>
          <w:szCs w:val="24"/>
        </w:rPr>
      </w:pPr>
      <w:r>
        <w:rPr>
          <w:sz w:val="24"/>
          <w:szCs w:val="24"/>
        </w:rPr>
        <w:t>SierraLynn Anderson</w:t>
      </w:r>
    </w:p>
    <w:p w14:paraId="00000005" w14:textId="77777777" w:rsidR="003074D1" w:rsidRDefault="00000000">
      <w:pPr>
        <w:jc w:val="center"/>
        <w:rPr>
          <w:sz w:val="24"/>
          <w:szCs w:val="24"/>
        </w:rPr>
      </w:pPr>
      <w:r>
        <w:rPr>
          <w:sz w:val="24"/>
          <w:szCs w:val="24"/>
        </w:rPr>
        <w:t xml:space="preserve">University of Tulsa College of Law </w:t>
      </w:r>
    </w:p>
    <w:p w14:paraId="00000006" w14:textId="77777777" w:rsidR="003074D1" w:rsidRDefault="003074D1">
      <w:pPr>
        <w:jc w:val="center"/>
      </w:pPr>
    </w:p>
    <w:p w14:paraId="00000007" w14:textId="77777777" w:rsidR="003074D1" w:rsidRDefault="003074D1">
      <w:pPr>
        <w:jc w:val="center"/>
        <w:rPr>
          <w:b/>
          <w:bCs/>
        </w:rPr>
      </w:pPr>
    </w:p>
    <w:p w14:paraId="00000008" w14:textId="77777777" w:rsidR="003074D1" w:rsidRDefault="003074D1">
      <w:pPr>
        <w:jc w:val="center"/>
        <w:rPr>
          <w:b/>
          <w:bCs/>
        </w:rPr>
      </w:pPr>
    </w:p>
    <w:p w14:paraId="00000009" w14:textId="77777777" w:rsidR="003074D1" w:rsidRDefault="003074D1">
      <w:pPr>
        <w:jc w:val="center"/>
        <w:rPr>
          <w:b/>
          <w:bCs/>
        </w:rPr>
      </w:pPr>
    </w:p>
    <w:p w14:paraId="0000000A" w14:textId="77777777" w:rsidR="003074D1" w:rsidRDefault="003074D1">
      <w:pPr>
        <w:jc w:val="center"/>
        <w:rPr>
          <w:b/>
          <w:bCs/>
        </w:rPr>
      </w:pPr>
    </w:p>
    <w:p w14:paraId="0000000B" w14:textId="77777777" w:rsidR="003074D1" w:rsidRDefault="003074D1">
      <w:pPr>
        <w:jc w:val="center"/>
        <w:rPr>
          <w:b/>
          <w:bCs/>
        </w:rPr>
      </w:pPr>
    </w:p>
    <w:p w14:paraId="0000000C" w14:textId="77777777" w:rsidR="003074D1" w:rsidRDefault="003074D1">
      <w:pPr>
        <w:rPr>
          <w:b/>
          <w:bCs/>
        </w:rPr>
      </w:pPr>
    </w:p>
    <w:p w14:paraId="0000000D" w14:textId="77777777" w:rsidR="003074D1" w:rsidRDefault="003074D1">
      <w:pPr>
        <w:jc w:val="center"/>
        <w:rPr>
          <w:b/>
          <w:bCs/>
        </w:rPr>
      </w:pPr>
    </w:p>
    <w:p w14:paraId="0000000E" w14:textId="77777777" w:rsidR="003074D1" w:rsidRDefault="003074D1"/>
    <w:p w14:paraId="0000000F" w14:textId="77777777" w:rsidR="003074D1" w:rsidRDefault="003074D1">
      <w:pPr>
        <w:jc w:val="center"/>
      </w:pPr>
    </w:p>
    <w:p w14:paraId="00000010" w14:textId="77777777" w:rsidR="003074D1" w:rsidRDefault="003074D1"/>
    <w:p w14:paraId="00000011" w14:textId="77777777" w:rsidR="003074D1" w:rsidRDefault="003074D1">
      <w:pPr>
        <w:jc w:val="center"/>
      </w:pPr>
    </w:p>
    <w:p w14:paraId="00000012" w14:textId="77777777" w:rsidR="003074D1" w:rsidRDefault="00000000">
      <w:pPr>
        <w:spacing w:before="240" w:after="240"/>
        <w:jc w:val="center"/>
        <w:rPr>
          <w:b/>
          <w:bCs/>
          <w:sz w:val="24"/>
          <w:szCs w:val="24"/>
        </w:rPr>
      </w:pPr>
      <w:r>
        <w:rPr>
          <w:b/>
          <w:bCs/>
          <w:sz w:val="24"/>
          <w:szCs w:val="24"/>
        </w:rPr>
        <w:t>ABSTRACT</w:t>
      </w:r>
    </w:p>
    <w:p w14:paraId="00000013" w14:textId="77777777" w:rsidR="003074D1" w:rsidRDefault="00000000">
      <w:pPr>
        <w:spacing w:before="240" w:after="240"/>
        <w:ind w:firstLine="720"/>
        <w:jc w:val="both"/>
        <w:rPr>
          <w:sz w:val="20"/>
          <w:szCs w:val="20"/>
        </w:rPr>
      </w:pPr>
      <w:r>
        <w:rPr>
          <w:sz w:val="20"/>
          <w:szCs w:val="20"/>
        </w:rPr>
        <w:t xml:space="preserve">The Major Questions Doctrine has altered the framework through which courts determine whether Congress has delegated consequential regulatory authority to administrative agencies. Although </w:t>
      </w:r>
      <w:r>
        <w:rPr>
          <w:i/>
          <w:iCs/>
          <w:sz w:val="20"/>
          <w:szCs w:val="20"/>
        </w:rPr>
        <w:t>West Virginia v. EPA</w:t>
      </w:r>
      <w:r>
        <w:rPr>
          <w:sz w:val="20"/>
          <w:szCs w:val="20"/>
        </w:rPr>
        <w:t xml:space="preserve"> arose from the Environmental Protection Agency's regulation of greenhouse-gas emissions under the Clean Air Act, its significance extends beyond environmental law. The decision consolidated an emerging line of cases requiring clear congressional authorization when agencies assert authority of extraordinary economic or political significance. Subsequent decisions, including </w:t>
      </w:r>
      <w:r>
        <w:rPr>
          <w:i/>
          <w:iCs/>
          <w:sz w:val="20"/>
          <w:szCs w:val="20"/>
        </w:rPr>
        <w:t>Biden v. Nebraska</w:t>
      </w:r>
      <w:r>
        <w:rPr>
          <w:sz w:val="20"/>
          <w:szCs w:val="20"/>
        </w:rPr>
        <w:t xml:space="preserve"> and </w:t>
      </w:r>
      <w:r>
        <w:rPr>
          <w:i/>
          <w:iCs/>
          <w:sz w:val="20"/>
          <w:szCs w:val="20"/>
        </w:rPr>
        <w:t>Loper Bright Enterprises v. Raimondo</w:t>
      </w:r>
      <w:r>
        <w:rPr>
          <w:sz w:val="20"/>
          <w:szCs w:val="20"/>
        </w:rPr>
        <w:t>, further reinforce the judiciary's role in determining the existence and boundaries of administrative authority.</w:t>
      </w:r>
    </w:p>
    <w:p w14:paraId="00000014" w14:textId="77777777" w:rsidR="003074D1" w:rsidRDefault="00000000">
      <w:pPr>
        <w:spacing w:before="240" w:after="240"/>
        <w:ind w:firstLine="720"/>
        <w:jc w:val="both"/>
        <w:rPr>
          <w:sz w:val="20"/>
          <w:szCs w:val="20"/>
        </w:rPr>
      </w:pPr>
      <w:r>
        <w:rPr>
          <w:sz w:val="20"/>
          <w:szCs w:val="20"/>
        </w:rPr>
        <w:t>The doctrine responds to a legitimate separation-of-powers concern by requiring consequential exercises of agency power to remain traceable to congressional authorization. Its application, however, creates a corresponding institutional difficulty. Congress frequently legislates through general statutory standards designed to accommodate changing technologies, scientific understanding, and regulatory conditions. Because the Major Questions Doctrine lacks a determinate test for identifying when a question becomes “major” or how much statutory clarity is then required, its application may transfer substantial discretion from administrative agencies to courts. The doctrine's long-term significance therefore lies not only in its consequences for EPA climate regulation, but in its emerging role in defining the allocation of interpretive authority among Congress, administrative agencies, and the judiciary.</w:t>
      </w:r>
    </w:p>
    <w:p w14:paraId="00000015" w14:textId="77777777" w:rsidR="003074D1" w:rsidRDefault="003074D1">
      <w:pPr>
        <w:jc w:val="center"/>
        <w:rPr>
          <w:b/>
          <w:bCs/>
          <w:sz w:val="20"/>
          <w:szCs w:val="20"/>
        </w:rPr>
      </w:pPr>
    </w:p>
    <w:p w14:paraId="00000016" w14:textId="77777777" w:rsidR="003074D1" w:rsidRDefault="003074D1">
      <w:pPr>
        <w:jc w:val="center"/>
        <w:rPr>
          <w:b/>
          <w:bCs/>
          <w:sz w:val="20"/>
          <w:szCs w:val="20"/>
        </w:rPr>
      </w:pPr>
    </w:p>
    <w:p w14:paraId="00000017" w14:textId="77777777" w:rsidR="003074D1" w:rsidRDefault="003074D1">
      <w:pPr>
        <w:jc w:val="center"/>
        <w:rPr>
          <w:b/>
          <w:bCs/>
          <w:sz w:val="20"/>
          <w:szCs w:val="20"/>
        </w:rPr>
      </w:pPr>
    </w:p>
    <w:p w14:paraId="00000018" w14:textId="77777777" w:rsidR="003074D1" w:rsidRDefault="00000000">
      <w:pPr>
        <w:jc w:val="center"/>
        <w:rPr>
          <w:sz w:val="40"/>
          <w:szCs w:val="40"/>
        </w:rPr>
        <w:sectPr w:rsidR="003074D1">
          <w:footerReference w:type="default" r:id="rId6"/>
          <w:headerReference w:type="first" r:id="rId7"/>
          <w:footerReference w:type="first" r:id="rId8"/>
          <w:pgSz w:w="12240" w:h="15840"/>
          <w:pgMar w:top="1440" w:right="1440" w:bottom="1440" w:left="1440" w:header="720" w:footer="720" w:gutter="0"/>
          <w:pgNumType w:start="0"/>
          <w:cols w:space="720"/>
          <w:titlePg/>
        </w:sectPr>
      </w:pPr>
      <w:r>
        <w:rPr>
          <w:b/>
          <w:bCs/>
          <w:i/>
          <w:iCs/>
          <w:sz w:val="20"/>
          <w:szCs w:val="20"/>
        </w:rPr>
        <w:t>Keywords</w:t>
      </w:r>
      <w:r>
        <w:rPr>
          <w:b/>
          <w:bCs/>
          <w:sz w:val="20"/>
          <w:szCs w:val="20"/>
        </w:rPr>
        <w:t>:</w:t>
      </w:r>
      <w:r>
        <w:rPr>
          <w:sz w:val="20"/>
          <w:szCs w:val="20"/>
        </w:rPr>
        <w:t xml:space="preserve"> Major Questions Doctrine; administrative law; environmental law; Environmental Protection Agency; Clean Air Act; agency authority; statutory interpretation; separation of powers</w:t>
      </w:r>
    </w:p>
    <w:p w14:paraId="00000019" w14:textId="77777777" w:rsidR="003074D1" w:rsidRDefault="00000000">
      <w:pPr>
        <w:pStyle w:val="Title"/>
        <w:jc w:val="center"/>
        <w:rPr>
          <w:b w:val="0"/>
          <w:bCs w:val="0"/>
          <w:sz w:val="40"/>
          <w:szCs w:val="40"/>
        </w:rPr>
      </w:pPr>
      <w:bookmarkStart w:id="1" w:name="_320of4zzfka" w:colFirst="0" w:colLast="0"/>
      <w:bookmarkEnd w:id="1"/>
      <w:r>
        <w:rPr>
          <w:sz w:val="40"/>
          <w:szCs w:val="40"/>
        </w:rPr>
        <w:lastRenderedPageBreak/>
        <w:t>The Major Questions Doctrine and the Future of EPA Climate Regulation</w:t>
      </w:r>
    </w:p>
    <w:p w14:paraId="0000001A" w14:textId="77777777" w:rsidR="003074D1" w:rsidRDefault="003074D1"/>
    <w:p w14:paraId="0000001B" w14:textId="77777777" w:rsidR="003074D1" w:rsidRDefault="00F9769D">
      <w:r>
        <w:rPr>
          <w:noProof/>
        </w:rPr>
      </w:r>
      <w:r>
        <w:pict w14:anchorId="4C11FF13">
          <v:rect id="Horizontal Line 2" o:spid="_x0000_s2050"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000001C" w14:textId="77777777" w:rsidR="003074D1" w:rsidRDefault="00000000">
      <w:pPr>
        <w:pStyle w:val="Heading1"/>
        <w:keepNext w:val="0"/>
        <w:keepLines w:val="0"/>
        <w:spacing w:line="360" w:lineRule="auto"/>
      </w:pPr>
      <w:bookmarkStart w:id="2" w:name="_8r3t8x44nrn7" w:colFirst="0" w:colLast="0"/>
      <w:bookmarkEnd w:id="2"/>
      <w:r>
        <w:t>I. Introduction</w:t>
      </w:r>
    </w:p>
    <w:p w14:paraId="0000001D" w14:textId="77777777" w:rsidR="003074D1" w:rsidRDefault="00000000">
      <w:pPr>
        <w:spacing w:line="360" w:lineRule="auto"/>
        <w:ind w:firstLine="720"/>
        <w:jc w:val="both"/>
        <w:rPr>
          <w:sz w:val="20"/>
          <w:szCs w:val="20"/>
        </w:rPr>
      </w:pPr>
      <w:r>
        <w:rPr>
          <w:sz w:val="20"/>
          <w:szCs w:val="20"/>
        </w:rPr>
        <w:t>Modern administrative governance depends upon Congress's ability to delegate regulatory authority to administrative agencies. Congress frequently establishes broad statutory objectives while entrusting agencies with responsibility for implementing those objectives through specialized expertise. The Supreme Court has long recognized that Congress may confer substantial policymaking discretion upon administrative agencies so long as it provides an intelligible principle to guide the exercise of delegated authority.</w:t>
      </w:r>
      <w:r>
        <w:rPr>
          <w:sz w:val="20"/>
          <w:szCs w:val="20"/>
          <w:vertAlign w:val="superscript"/>
        </w:rPr>
        <w:footnoteReference w:id="1"/>
      </w:r>
      <w:r>
        <w:rPr>
          <w:sz w:val="20"/>
          <w:szCs w:val="20"/>
        </w:rPr>
        <w:t xml:space="preserve"> Environmental law developed within this framework. The Clean Air Act ("CAA") establishes broad regulatory objectives while assigning substantial implementation responsibilities to the Environmental Protection Agency ("EPA").</w:t>
      </w:r>
      <w:r>
        <w:rPr>
          <w:sz w:val="20"/>
          <w:szCs w:val="20"/>
          <w:vertAlign w:val="superscript"/>
        </w:rPr>
        <w:footnoteReference w:id="2"/>
      </w:r>
      <w:r>
        <w:rPr>
          <w:sz w:val="20"/>
          <w:szCs w:val="20"/>
        </w:rPr>
        <w:t xml:space="preserve"> Section 111, for example, authorizes the EPA to identify the "best system of emission reduction" for covered sources rather than prescribing every permissible method of emissions control.</w:t>
      </w:r>
      <w:r>
        <w:rPr>
          <w:sz w:val="20"/>
          <w:szCs w:val="20"/>
          <w:vertAlign w:val="superscript"/>
        </w:rPr>
        <w:footnoteReference w:id="3"/>
      </w:r>
      <w:r>
        <w:rPr>
          <w:sz w:val="20"/>
          <w:szCs w:val="20"/>
        </w:rPr>
        <w:t xml:space="preserve"> The Supreme Court has interpreted provisions of the CAA as sufficiently broad to encompass environmental problems Congress had not specifically anticipated when those provisions were enacted. </w:t>
      </w:r>
      <w:r>
        <w:rPr>
          <w:sz w:val="20"/>
          <w:szCs w:val="20"/>
          <w:vertAlign w:val="superscript"/>
        </w:rPr>
        <w:footnoteReference w:id="4"/>
      </w:r>
    </w:p>
    <w:p w14:paraId="0000001E" w14:textId="77777777" w:rsidR="003074D1" w:rsidRDefault="00000000">
      <w:pPr>
        <w:spacing w:before="240" w:after="240" w:line="360" w:lineRule="auto"/>
        <w:ind w:firstLine="720"/>
        <w:jc w:val="both"/>
        <w:rPr>
          <w:sz w:val="20"/>
          <w:szCs w:val="20"/>
        </w:rPr>
      </w:pPr>
      <w:r>
        <w:rPr>
          <w:i/>
          <w:iCs/>
          <w:sz w:val="20"/>
          <w:szCs w:val="20"/>
        </w:rPr>
        <w:t>West Virginia v. EPA</w:t>
      </w:r>
      <w:r>
        <w:rPr>
          <w:sz w:val="20"/>
          <w:szCs w:val="20"/>
        </w:rPr>
        <w:t xml:space="preserve"> placed a new limitation on how that statutory breadth may establish administrative authority. The case arose from the EPA's Clean Power Plan and its interpretation of § 111(d), but the Court's reasoning was not confined to the Clean Air Act. Under the Major Questions Doctrine ("MQD"), an agency asserting authority over a matter of "vast economic and political significance" must identify clear congressional authorization for the power claimed.</w:t>
      </w:r>
      <w:r>
        <w:rPr>
          <w:sz w:val="20"/>
          <w:szCs w:val="20"/>
          <w:vertAlign w:val="superscript"/>
        </w:rPr>
        <w:footnoteReference w:id="5"/>
      </w:r>
      <w:r>
        <w:rPr>
          <w:sz w:val="20"/>
          <w:szCs w:val="20"/>
        </w:rPr>
        <w:t xml:space="preserve"> Once an asserted exercise of authority presents a major question, a plausible reading of broadly worded statutory language is therefore insufficient by itself to establish the delegation.</w:t>
      </w:r>
    </w:p>
    <w:p w14:paraId="0000001F" w14:textId="77777777" w:rsidR="003074D1" w:rsidRDefault="00000000">
      <w:pPr>
        <w:spacing w:before="240" w:after="240" w:line="360" w:lineRule="auto"/>
        <w:ind w:firstLine="720"/>
        <w:jc w:val="both"/>
        <w:rPr>
          <w:i/>
          <w:iCs/>
          <w:sz w:val="20"/>
          <w:szCs w:val="20"/>
        </w:rPr>
      </w:pPr>
      <w:r>
        <w:rPr>
          <w:sz w:val="20"/>
          <w:szCs w:val="20"/>
        </w:rPr>
        <w:t xml:space="preserve">Subsequent decisions confirm the doctrine's significance beyond environmental regulation. In </w:t>
      </w:r>
      <w:r>
        <w:rPr>
          <w:i/>
          <w:iCs/>
          <w:sz w:val="20"/>
          <w:szCs w:val="20"/>
        </w:rPr>
        <w:t>Biden v. Nebraska</w:t>
      </w:r>
      <w:r>
        <w:rPr>
          <w:sz w:val="20"/>
          <w:szCs w:val="20"/>
        </w:rPr>
        <w:t>, the Court applied major-questions reasoning to the Secretary of Education's reliance on the HEROES Act to cancel approximately $430 billion in student-loan principal.</w:t>
      </w:r>
      <w:r>
        <w:rPr>
          <w:sz w:val="20"/>
          <w:szCs w:val="20"/>
          <w:vertAlign w:val="superscript"/>
        </w:rPr>
        <w:footnoteReference w:id="6"/>
      </w:r>
      <w:r>
        <w:rPr>
          <w:sz w:val="20"/>
          <w:szCs w:val="20"/>
        </w:rPr>
        <w:t xml:space="preserve"> The following Term, </w:t>
      </w:r>
      <w:r>
        <w:rPr>
          <w:i/>
          <w:iCs/>
          <w:sz w:val="20"/>
          <w:szCs w:val="20"/>
        </w:rPr>
        <w:t>Loper Bright Enterprises v. Raimondo</w:t>
      </w:r>
      <w:r>
        <w:rPr>
          <w:sz w:val="20"/>
          <w:szCs w:val="20"/>
        </w:rPr>
        <w:t xml:space="preserve"> overruled Chevron and required courts to exercise independent judgment in determining statutory meaning.</w:t>
      </w:r>
      <w:r>
        <w:rPr>
          <w:sz w:val="20"/>
          <w:szCs w:val="20"/>
          <w:vertAlign w:val="superscript"/>
        </w:rPr>
        <w:footnoteReference w:id="7"/>
      </w:r>
      <w:r>
        <w:rPr>
          <w:sz w:val="20"/>
          <w:szCs w:val="20"/>
        </w:rPr>
        <w:t xml:space="preserve"> Although the doctrines perform distinct functions, both reinforce the judiciary's role in determining the legal boundaries of administrative authority. </w:t>
      </w:r>
      <w:r>
        <w:rPr>
          <w:i/>
          <w:iCs/>
          <w:sz w:val="20"/>
          <w:szCs w:val="20"/>
        </w:rPr>
        <w:t>West Virginia</w:t>
      </w:r>
      <w:r>
        <w:rPr>
          <w:sz w:val="20"/>
          <w:szCs w:val="20"/>
        </w:rPr>
        <w:t xml:space="preserve"> is therefore significant not simply because it rejected the </w:t>
      </w:r>
      <w:r>
        <w:rPr>
          <w:sz w:val="20"/>
          <w:szCs w:val="20"/>
        </w:rPr>
        <w:lastRenderedPageBreak/>
        <w:t>Clean Power Plan, but because it added a distinct requirement for identifying congressional delegation in extraordinary cases. Earlier Clean Air Act decisions permitted broad statutory language to encompass problems Congress had not expressly anticipated, subject to statutory text, structure, and context.</w:t>
      </w:r>
      <w:r>
        <w:rPr>
          <w:sz w:val="20"/>
          <w:szCs w:val="20"/>
          <w:vertAlign w:val="superscript"/>
        </w:rPr>
        <w:footnoteReference w:id="8"/>
      </w:r>
      <w:r>
        <w:rPr>
          <w:sz w:val="20"/>
          <w:szCs w:val="20"/>
        </w:rPr>
        <w:t xml:space="preserve"> West Virginia requires something more when an agency asserts authority over a major question: clear congressional authorization.</w:t>
      </w:r>
      <w:r>
        <w:rPr>
          <w:sz w:val="20"/>
          <w:szCs w:val="20"/>
          <w:vertAlign w:val="superscript"/>
        </w:rPr>
        <w:footnoteReference w:id="9"/>
      </w:r>
      <w:r>
        <w:rPr>
          <w:sz w:val="20"/>
          <w:szCs w:val="20"/>
        </w:rPr>
        <w:t xml:space="preserve"> </w:t>
      </w:r>
    </w:p>
    <w:p w14:paraId="00000020" w14:textId="77777777" w:rsidR="003074D1" w:rsidRDefault="00000000">
      <w:pPr>
        <w:spacing w:before="240" w:after="240" w:line="360" w:lineRule="auto"/>
        <w:ind w:firstLine="720"/>
        <w:jc w:val="both"/>
        <w:rPr>
          <w:sz w:val="20"/>
          <w:szCs w:val="20"/>
        </w:rPr>
      </w:pPr>
      <w:r>
        <w:rPr>
          <w:sz w:val="20"/>
          <w:szCs w:val="20"/>
        </w:rPr>
        <w:t>That requirement changes the allocation of interpretive responsibility without changing the constitutional rule governing Congress's power to delegate. The Court did not invalidate § 111(d) under the nondelegation doctrine; it concluded that § 111(d) did not confer the particular authority EPA asserted.</w:t>
      </w:r>
      <w:r>
        <w:rPr>
          <w:sz w:val="20"/>
          <w:szCs w:val="20"/>
          <w:vertAlign w:val="superscript"/>
        </w:rPr>
        <w:footnoteReference w:id="10"/>
      </w:r>
      <w:r>
        <w:rPr>
          <w:sz w:val="20"/>
          <w:szCs w:val="20"/>
        </w:rPr>
        <w:t xml:space="preserve"> Congress nevertheless retains constitutional authority to confer substantial policymaking discretion subject to the intelligible-principle requirement.</w:t>
      </w:r>
      <w:r>
        <w:rPr>
          <w:sz w:val="20"/>
          <w:szCs w:val="20"/>
          <w:vertAlign w:val="superscript"/>
        </w:rPr>
        <w:footnoteReference w:id="11"/>
      </w:r>
      <w:r>
        <w:rPr>
          <w:sz w:val="20"/>
          <w:szCs w:val="20"/>
        </w:rPr>
        <w:t xml:space="preserve"> The MQD instead addresses the antecedent question of whether Congress has made the asserted delegation at all. Its doctrinal significance therefore turns on how courts identify delegated authority within broadly worded statutes and, in doing so, define the respective roles of Congress, agencies, and the judiciary in the modern administrative state.</w:t>
      </w:r>
    </w:p>
    <w:p w14:paraId="00000021" w14:textId="77777777" w:rsidR="003074D1" w:rsidRDefault="00000000">
      <w:pPr>
        <w:pStyle w:val="Heading1"/>
        <w:keepNext w:val="0"/>
        <w:keepLines w:val="0"/>
        <w:spacing w:line="360" w:lineRule="auto"/>
        <w:rPr>
          <w:i/>
          <w:iCs/>
        </w:rPr>
      </w:pPr>
      <w:bookmarkStart w:id="3" w:name="_9fqo5otg7hgd" w:colFirst="0" w:colLast="0"/>
      <w:bookmarkEnd w:id="3"/>
      <w:r>
        <w:t xml:space="preserve">II. The Doctrinal Foundations of </w:t>
      </w:r>
      <w:r>
        <w:rPr>
          <w:i/>
          <w:iCs/>
        </w:rPr>
        <w:t>West Virginia v. EPA</w:t>
      </w:r>
    </w:p>
    <w:p w14:paraId="00000022" w14:textId="77777777" w:rsidR="003074D1" w:rsidRDefault="00000000">
      <w:pPr>
        <w:pStyle w:val="Heading2"/>
        <w:keepNext w:val="0"/>
        <w:keepLines w:val="0"/>
        <w:spacing w:line="360" w:lineRule="auto"/>
      </w:pPr>
      <w:bookmarkStart w:id="4" w:name="_rphyarii2c4w" w:colFirst="0" w:colLast="0"/>
      <w:bookmarkEnd w:id="4"/>
      <w:r>
        <w:t>A. Congressional Delegation Under the Clean Air Act</w:t>
      </w:r>
    </w:p>
    <w:p w14:paraId="00000023" w14:textId="77777777" w:rsidR="003074D1" w:rsidRDefault="00000000">
      <w:pPr>
        <w:spacing w:before="240" w:after="240" w:line="360" w:lineRule="auto"/>
        <w:ind w:firstLine="720"/>
        <w:jc w:val="both"/>
        <w:rPr>
          <w:sz w:val="20"/>
          <w:szCs w:val="20"/>
        </w:rPr>
      </w:pPr>
      <w:r>
        <w:rPr>
          <w:sz w:val="20"/>
          <w:szCs w:val="20"/>
        </w:rPr>
        <w:t>The Clean Air Act ("CAA") embodies Congress's use of broad statutory standards administered by an expert agency. Section 111 does not prescribe a particular emissions-control method for every regulated source. Instead, it defines a "standard of performance" by reference to the degree of emission limitation achievable through application of the "best system of emission reduction" ("BSER") that the EPA Administrator determines has been adequately demonstrated, taking into account cost, nonair-quality health and environmental impacts, and energy requirements.</w:t>
      </w:r>
      <w:r>
        <w:rPr>
          <w:sz w:val="20"/>
          <w:szCs w:val="20"/>
          <w:vertAlign w:val="superscript"/>
        </w:rPr>
        <w:footnoteReference w:id="12"/>
      </w:r>
      <w:r>
        <w:rPr>
          <w:sz w:val="20"/>
          <w:szCs w:val="20"/>
        </w:rPr>
        <w:t xml:space="preserve"> Section 111(d) establishes a related framework for regulating certain pollutants emitted by existing sources.</w:t>
      </w:r>
      <w:r>
        <w:rPr>
          <w:sz w:val="20"/>
          <w:szCs w:val="20"/>
          <w:vertAlign w:val="superscript"/>
        </w:rPr>
        <w:footnoteReference w:id="13"/>
      </w:r>
    </w:p>
    <w:p w14:paraId="00000024" w14:textId="77777777" w:rsidR="003074D1" w:rsidRDefault="00000000">
      <w:pPr>
        <w:spacing w:before="240" w:after="240" w:line="360" w:lineRule="auto"/>
        <w:ind w:firstLine="720"/>
        <w:jc w:val="both"/>
        <w:rPr>
          <w:sz w:val="20"/>
          <w:szCs w:val="20"/>
        </w:rPr>
      </w:pPr>
      <w:r>
        <w:rPr>
          <w:sz w:val="20"/>
          <w:szCs w:val="20"/>
        </w:rPr>
        <w:t>That statutory structure assigns the EPA responsibility for determining how § 111's general standard applies in particular regulatory circumstances. Congress did not comprehensively define the "best system of emission reduction" or enumerate every regulatory method that might qualify. It instead supplied statutory criteria within which the Administrator must determine what system has been adequately demonstrated.</w:t>
      </w:r>
      <w:r>
        <w:rPr>
          <w:sz w:val="20"/>
          <w:szCs w:val="20"/>
          <w:vertAlign w:val="superscript"/>
        </w:rPr>
        <w:footnoteReference w:id="14"/>
      </w:r>
      <w:r>
        <w:rPr>
          <w:sz w:val="20"/>
          <w:szCs w:val="20"/>
        </w:rPr>
        <w:t xml:space="preserve"> The resulting discretion is substantial but bounded: the Agency must exercise the authority Congress conferred through the statutory framework Congress enacted. Climate change tested the reach of that framework because the modern CAA was not enacted as a comprehensive climate statute.</w:t>
      </w:r>
      <w:r>
        <w:rPr>
          <w:sz w:val="20"/>
          <w:szCs w:val="20"/>
          <w:vertAlign w:val="superscript"/>
        </w:rPr>
        <w:footnoteReference w:id="15"/>
      </w:r>
      <w:r>
        <w:rPr>
          <w:sz w:val="20"/>
          <w:szCs w:val="20"/>
        </w:rPr>
        <w:t xml:space="preserve"> Whether its existing provisions nevertheless authorized regulation of greenhouse </w:t>
      </w:r>
      <w:r>
        <w:rPr>
          <w:sz w:val="20"/>
          <w:szCs w:val="20"/>
        </w:rPr>
        <w:lastRenderedPageBreak/>
        <w:t xml:space="preserve">gases therefore depended on the scope of the statutory language Congress had already enacted. Before </w:t>
      </w:r>
      <w:r>
        <w:rPr>
          <w:i/>
          <w:iCs/>
          <w:sz w:val="20"/>
          <w:szCs w:val="20"/>
        </w:rPr>
        <w:t>West Virginia</w:t>
      </w:r>
      <w:r>
        <w:rPr>
          <w:sz w:val="20"/>
          <w:szCs w:val="20"/>
        </w:rPr>
        <w:t>, the Supreme Court addressed that question through a series of decisions that recognized EPA authority over greenhouse gases while also identifying limits on how broadly particular CAA programs could be extended.</w:t>
      </w:r>
    </w:p>
    <w:p w14:paraId="00000025" w14:textId="77777777" w:rsidR="003074D1" w:rsidRDefault="00000000">
      <w:pPr>
        <w:pStyle w:val="Heading2"/>
        <w:keepNext w:val="0"/>
        <w:keepLines w:val="0"/>
        <w:spacing w:line="360" w:lineRule="auto"/>
        <w:rPr>
          <w:i/>
          <w:iCs/>
        </w:rPr>
      </w:pPr>
      <w:bookmarkStart w:id="5" w:name="_tww0lab6gvvr" w:colFirst="0" w:colLast="0"/>
      <w:bookmarkEnd w:id="5"/>
      <w:r>
        <w:t xml:space="preserve">B. EPA Climate Authority Before </w:t>
      </w:r>
      <w:r>
        <w:rPr>
          <w:i/>
          <w:iCs/>
        </w:rPr>
        <w:t>West Virginia</w:t>
      </w:r>
    </w:p>
    <w:p w14:paraId="00000026" w14:textId="77777777" w:rsidR="003074D1" w:rsidRDefault="00000000">
      <w:pPr>
        <w:spacing w:before="240" w:after="240" w:line="360" w:lineRule="auto"/>
        <w:ind w:firstLine="720"/>
        <w:jc w:val="both"/>
        <w:rPr>
          <w:sz w:val="20"/>
          <w:szCs w:val="20"/>
        </w:rPr>
      </w:pPr>
      <w:r>
        <w:rPr>
          <w:sz w:val="20"/>
          <w:szCs w:val="20"/>
        </w:rPr>
        <w:t xml:space="preserve">In </w:t>
      </w:r>
      <w:r>
        <w:rPr>
          <w:i/>
          <w:iCs/>
          <w:sz w:val="20"/>
          <w:szCs w:val="20"/>
        </w:rPr>
        <w:t>Massachusetts v. EPA</w:t>
      </w:r>
      <w:r>
        <w:rPr>
          <w:sz w:val="20"/>
          <w:szCs w:val="20"/>
        </w:rPr>
        <w:t>, the Supreme Court rejected the Agency's position that greenhouse gases fell outside the CAA's definition of "air pollutant." The statutory definition, the Court concluded, unambiguously encompassed carbon dioxide and other greenhouse gases.</w:t>
      </w:r>
      <w:r>
        <w:rPr>
          <w:sz w:val="20"/>
          <w:szCs w:val="20"/>
          <w:vertAlign w:val="superscript"/>
        </w:rPr>
        <w:footnoteReference w:id="16"/>
      </w:r>
      <w:r>
        <w:rPr>
          <w:sz w:val="20"/>
          <w:szCs w:val="20"/>
        </w:rPr>
        <w:t xml:space="preserve"> The EPA therefore could decline to regulate greenhouse-gas emissions from new motor vehicles only for reasons consistent with the criteria Congress established in § 202(a).</w:t>
      </w:r>
      <w:r>
        <w:rPr>
          <w:sz w:val="20"/>
          <w:szCs w:val="20"/>
          <w:vertAlign w:val="superscript"/>
        </w:rPr>
        <w:footnoteReference w:id="17"/>
      </w:r>
      <w:r>
        <w:rPr>
          <w:sz w:val="20"/>
          <w:szCs w:val="20"/>
        </w:rPr>
        <w:t xml:space="preserve"> The interpretive approach underlying </w:t>
      </w:r>
      <w:r>
        <w:rPr>
          <w:i/>
          <w:iCs/>
          <w:sz w:val="20"/>
          <w:szCs w:val="20"/>
        </w:rPr>
        <w:t>Massachusetts</w:t>
      </w:r>
      <w:r>
        <w:rPr>
          <w:sz w:val="20"/>
          <w:szCs w:val="20"/>
        </w:rPr>
        <w:t xml:space="preserve"> is as important to the present analysis as its substantive holding. Congress had not expressly identified climate change in the relevant provision, but the Court declined to infer from that omission that greenhouse gases were excluded from an otherwise expansive statutory definition.</w:t>
      </w:r>
      <w:r>
        <w:rPr>
          <w:sz w:val="20"/>
          <w:szCs w:val="20"/>
          <w:vertAlign w:val="superscript"/>
        </w:rPr>
        <w:footnoteReference w:id="18"/>
      </w:r>
      <w:r>
        <w:rPr>
          <w:sz w:val="20"/>
          <w:szCs w:val="20"/>
        </w:rPr>
        <w:t xml:space="preserve"> Statutory breadth could therefore encompass an environmental problem that Congress had not specifically identified when drafting the governing provision.</w:t>
      </w:r>
    </w:p>
    <w:p w14:paraId="00000027" w14:textId="77777777" w:rsidR="003074D1" w:rsidRDefault="00000000">
      <w:pPr>
        <w:spacing w:before="240" w:after="240" w:line="360" w:lineRule="auto"/>
        <w:ind w:firstLine="720"/>
        <w:jc w:val="both"/>
        <w:rPr>
          <w:i/>
          <w:iCs/>
          <w:sz w:val="20"/>
          <w:szCs w:val="20"/>
        </w:rPr>
      </w:pPr>
      <w:r>
        <w:rPr>
          <w:sz w:val="20"/>
          <w:szCs w:val="20"/>
        </w:rPr>
        <w:t xml:space="preserve">Following </w:t>
      </w:r>
      <w:r>
        <w:rPr>
          <w:i/>
          <w:iCs/>
          <w:sz w:val="20"/>
          <w:szCs w:val="20"/>
        </w:rPr>
        <w:t>Massachusetts</w:t>
      </w:r>
      <w:r>
        <w:rPr>
          <w:sz w:val="20"/>
          <w:szCs w:val="20"/>
        </w:rPr>
        <w:t>, the EPA issued its 2009 Endangerment Finding, concluding that six greenhouse gases threatened public health and welfare and that emissions from new motor vehicles contributed to that pollution.</w:t>
      </w:r>
      <w:r>
        <w:rPr>
          <w:sz w:val="20"/>
          <w:szCs w:val="20"/>
          <w:vertAlign w:val="superscript"/>
        </w:rPr>
        <w:footnoteReference w:id="19"/>
      </w:r>
      <w:r>
        <w:rPr>
          <w:sz w:val="20"/>
          <w:szCs w:val="20"/>
        </w:rPr>
        <w:t xml:space="preserve"> The finding supplied the statutory predicate for the motor-vehicle greenhouse-gas standards that followed under § 202(a). The Court subsequently recognized EPA's regulatory role in </w:t>
      </w:r>
      <w:r>
        <w:rPr>
          <w:i/>
          <w:iCs/>
          <w:sz w:val="20"/>
          <w:szCs w:val="20"/>
        </w:rPr>
        <w:t>American Electric Power Co. v. Connecticut</w:t>
      </w:r>
      <w:r>
        <w:rPr>
          <w:sz w:val="20"/>
          <w:szCs w:val="20"/>
        </w:rPr>
        <w:t>. There, it held that the CAA displaced federal common-law nuisance claims seeking judicially imposed limits on carbon-dioxide emissions from fossil-fuel-fired power plants because Congress had assigned the regulation of those emissions to the EPA under § 111.</w:t>
      </w:r>
      <w:r>
        <w:rPr>
          <w:sz w:val="20"/>
          <w:szCs w:val="20"/>
          <w:vertAlign w:val="superscript"/>
        </w:rPr>
        <w:footnoteReference w:id="20"/>
      </w:r>
      <w:r>
        <w:rPr>
          <w:sz w:val="20"/>
          <w:szCs w:val="20"/>
        </w:rPr>
        <w:t xml:space="preserve"> The decision placed the initial regulatory judgment with the agency Congress had designated rather than with federal courts exercising common-law authority.</w:t>
      </w:r>
    </w:p>
    <w:p w14:paraId="00000028" w14:textId="77777777" w:rsidR="003074D1" w:rsidRDefault="00000000">
      <w:pPr>
        <w:spacing w:before="240" w:after="240" w:line="360" w:lineRule="auto"/>
        <w:ind w:firstLine="720"/>
        <w:jc w:val="both"/>
        <w:rPr>
          <w:sz w:val="20"/>
          <w:szCs w:val="20"/>
        </w:rPr>
      </w:pPr>
      <w:r>
        <w:rPr>
          <w:sz w:val="20"/>
          <w:szCs w:val="20"/>
        </w:rPr>
        <w:t xml:space="preserve">That recognition of administrative authority was not unlimited. In </w:t>
      </w:r>
      <w:r>
        <w:rPr>
          <w:i/>
          <w:iCs/>
          <w:sz w:val="20"/>
          <w:szCs w:val="20"/>
        </w:rPr>
        <w:t>Utility Air Regulatory Group v. EPA</w:t>
      </w:r>
      <w:r>
        <w:rPr>
          <w:sz w:val="20"/>
          <w:szCs w:val="20"/>
        </w:rPr>
        <w:t>, the Court rejected the EPA's interpretation that greenhouse-gas emissions alone could trigger permitting requirements under the Prevention of Significant Deterioration and Title V programs.</w:t>
      </w:r>
      <w:r>
        <w:rPr>
          <w:sz w:val="20"/>
          <w:szCs w:val="20"/>
          <w:vertAlign w:val="superscript"/>
        </w:rPr>
        <w:footnoteReference w:id="21"/>
      </w:r>
      <w:r>
        <w:rPr>
          <w:sz w:val="20"/>
          <w:szCs w:val="20"/>
        </w:rPr>
        <w:t xml:space="preserve"> Applying the statutory definitions literally in that context would have expanded the permitting programs far beyond the scale contemplated by Congress, and the Agency could not effectively rewrite statutory thresholds to avoid that result.</w:t>
      </w:r>
      <w:r>
        <w:rPr>
          <w:sz w:val="20"/>
          <w:szCs w:val="20"/>
          <w:vertAlign w:val="superscript"/>
        </w:rPr>
        <w:footnoteReference w:id="22"/>
      </w:r>
      <w:r>
        <w:rPr>
          <w:sz w:val="20"/>
          <w:szCs w:val="20"/>
        </w:rPr>
        <w:t xml:space="preserve"> The Court nevertheless left undisturbed </w:t>
      </w:r>
      <w:r>
        <w:rPr>
          <w:i/>
          <w:iCs/>
          <w:sz w:val="20"/>
          <w:szCs w:val="20"/>
        </w:rPr>
        <w:t>Massachusetts</w:t>
      </w:r>
      <w:r>
        <w:rPr>
          <w:sz w:val="20"/>
          <w:szCs w:val="20"/>
        </w:rPr>
        <w:t xml:space="preserve">' conclusion that greenhouse gases fall within the CAA's definition of "air pollutant." </w:t>
      </w:r>
      <w:r>
        <w:rPr>
          <w:sz w:val="20"/>
          <w:szCs w:val="20"/>
          <w:vertAlign w:val="superscript"/>
        </w:rPr>
        <w:footnoteReference w:id="23"/>
      </w:r>
      <w:r>
        <w:rPr>
          <w:sz w:val="20"/>
          <w:szCs w:val="20"/>
        </w:rPr>
        <w:t xml:space="preserve"> These decisions establish a more qualified pre-</w:t>
      </w:r>
      <w:r>
        <w:rPr>
          <w:i/>
          <w:iCs/>
          <w:sz w:val="20"/>
          <w:szCs w:val="20"/>
        </w:rPr>
        <w:t>West Virginia</w:t>
      </w:r>
      <w:r>
        <w:rPr>
          <w:sz w:val="20"/>
          <w:szCs w:val="20"/>
        </w:rPr>
        <w:t xml:space="preserve"> baseline than a simple presumption in favor of agency authority. </w:t>
      </w:r>
      <w:r>
        <w:rPr>
          <w:i/>
          <w:iCs/>
          <w:sz w:val="20"/>
          <w:szCs w:val="20"/>
        </w:rPr>
        <w:lastRenderedPageBreak/>
        <w:t>Massachusetts</w:t>
      </w:r>
      <w:r>
        <w:rPr>
          <w:sz w:val="20"/>
          <w:szCs w:val="20"/>
        </w:rPr>
        <w:t xml:space="preserve"> demonstrates that broad statutory language can encompass regulatory problems Congress did not expressly anticipate; </w:t>
      </w:r>
      <w:r>
        <w:rPr>
          <w:i/>
          <w:iCs/>
          <w:sz w:val="20"/>
          <w:szCs w:val="20"/>
        </w:rPr>
        <w:t>American Electric Power</w:t>
      </w:r>
      <w:r>
        <w:rPr>
          <w:sz w:val="20"/>
          <w:szCs w:val="20"/>
        </w:rPr>
        <w:t xml:space="preserve"> recognizes the regulatory responsibility Congress assigned to the EPA; and </w:t>
      </w:r>
      <w:r>
        <w:rPr>
          <w:i/>
          <w:iCs/>
          <w:sz w:val="20"/>
          <w:szCs w:val="20"/>
        </w:rPr>
        <w:t>Utility Air</w:t>
      </w:r>
      <w:r>
        <w:rPr>
          <w:sz w:val="20"/>
          <w:szCs w:val="20"/>
        </w:rPr>
        <w:t xml:space="preserve"> demonstrates that statutory breadth remains constrained by context, structure, and the limits of the particular regulatory program at issue. The relevant question was therefore never whether broad language conferred unlimited administrative discretion. It was how courts should determine the boundaries of authority Congress expressed through general statutory terms.</w:t>
      </w:r>
    </w:p>
    <w:p w14:paraId="00000029" w14:textId="77777777" w:rsidR="003074D1" w:rsidRDefault="00000000">
      <w:pPr>
        <w:spacing w:before="240" w:after="240" w:line="360" w:lineRule="auto"/>
        <w:ind w:firstLine="720"/>
        <w:jc w:val="both"/>
        <w:rPr>
          <w:sz w:val="20"/>
          <w:szCs w:val="20"/>
        </w:rPr>
      </w:pPr>
      <w:r>
        <w:rPr>
          <w:sz w:val="20"/>
          <w:szCs w:val="20"/>
        </w:rPr>
        <w:t xml:space="preserve">The Clean Power Plan brought that question into sharper focus. Acting under § 111(d), the EPA treated generation shifting from higher-emitting coal-fired generation toward lower-emitting sources as part of the "best system of emission reduction." </w:t>
      </w:r>
      <w:r>
        <w:rPr>
          <w:sz w:val="20"/>
          <w:szCs w:val="20"/>
          <w:vertAlign w:val="superscript"/>
        </w:rPr>
        <w:footnoteReference w:id="24"/>
      </w:r>
      <w:r>
        <w:rPr>
          <w:sz w:val="20"/>
          <w:szCs w:val="20"/>
        </w:rPr>
        <w:t xml:space="preserve"> That approach raised a problem different in degree and character from the questions resolved in the Court's earlier climate cases. Even if the statutory phrase "best system of emission reduction" could plausibly encompass generation shifting, the asserted authority carried consequences extending across the national electricity sector. </w:t>
      </w:r>
      <w:r>
        <w:rPr>
          <w:i/>
          <w:iCs/>
          <w:sz w:val="20"/>
          <w:szCs w:val="20"/>
        </w:rPr>
        <w:t>West Virginia</w:t>
      </w:r>
      <w:r>
        <w:rPr>
          <w:sz w:val="20"/>
          <w:szCs w:val="20"/>
        </w:rPr>
        <w:t xml:space="preserve"> therefore required the Court to decide whether ordinary statutory interpretation was sufficient to establish such authority or whether the significance of the regulatory action demanded something more from Congress.</w:t>
      </w:r>
    </w:p>
    <w:p w14:paraId="0000002A" w14:textId="77777777" w:rsidR="003074D1" w:rsidRDefault="00000000">
      <w:pPr>
        <w:pStyle w:val="Heading2"/>
        <w:keepNext w:val="0"/>
        <w:keepLines w:val="0"/>
        <w:spacing w:line="360" w:lineRule="auto"/>
      </w:pPr>
      <w:bookmarkStart w:id="6" w:name="_5g135moyc4c5" w:colFirst="0" w:colLast="0"/>
      <w:bookmarkEnd w:id="6"/>
      <w:r>
        <w:t>C. The Emergence of the Major Questions Doctrine</w:t>
      </w:r>
    </w:p>
    <w:p w14:paraId="0000002B" w14:textId="77777777" w:rsidR="003074D1" w:rsidRDefault="00000000">
      <w:pPr>
        <w:spacing w:before="240" w:after="240" w:line="360" w:lineRule="auto"/>
        <w:ind w:firstLine="720"/>
        <w:jc w:val="both"/>
        <w:rPr>
          <w:sz w:val="20"/>
          <w:szCs w:val="20"/>
        </w:rPr>
      </w:pPr>
      <w:r>
        <w:rPr>
          <w:sz w:val="20"/>
          <w:szCs w:val="20"/>
        </w:rPr>
        <w:t xml:space="preserve">The interpretive principles later formalized in </w:t>
      </w:r>
      <w:r>
        <w:rPr>
          <w:i/>
          <w:iCs/>
          <w:sz w:val="20"/>
          <w:szCs w:val="20"/>
        </w:rPr>
        <w:t>West Virginia</w:t>
      </w:r>
      <w:r>
        <w:rPr>
          <w:sz w:val="20"/>
          <w:szCs w:val="20"/>
        </w:rPr>
        <w:t xml:space="preserve"> developed outside the environmental context as the Court confronted agency claims of consequential authority derived from broadly worded or long-standing statutes. Although those decisions did not initially employ a uniform doctrinal label, they reflected increasing skepticism toward interpretations that located substantial regulatory powers in statutory provisions whose text, structure, history, or prior administration provided limited evidence that Congress intended such a delegation.</w:t>
      </w:r>
    </w:p>
    <w:p w14:paraId="0000002C" w14:textId="77777777" w:rsidR="003074D1" w:rsidRDefault="00000000">
      <w:pPr>
        <w:spacing w:before="240" w:after="240" w:line="360" w:lineRule="auto"/>
        <w:ind w:firstLine="720"/>
        <w:jc w:val="both"/>
        <w:rPr>
          <w:sz w:val="20"/>
          <w:szCs w:val="20"/>
        </w:rPr>
      </w:pPr>
      <w:r>
        <w:rPr>
          <w:sz w:val="20"/>
          <w:szCs w:val="20"/>
        </w:rPr>
        <w:t xml:space="preserve">An important precursor was </w:t>
      </w:r>
      <w:r>
        <w:rPr>
          <w:i/>
          <w:iCs/>
          <w:sz w:val="20"/>
          <w:szCs w:val="20"/>
        </w:rPr>
        <w:t>FDA v. Brown &amp; Williamson Tobacco Corp.</w:t>
      </w:r>
      <w:r>
        <w:rPr>
          <w:sz w:val="20"/>
          <w:szCs w:val="20"/>
        </w:rPr>
        <w:t>, where the Food and Drug Administration asserted jurisdiction over tobacco products under the Food, Drug, and Cosmetic Act.</w:t>
      </w:r>
      <w:r>
        <w:rPr>
          <w:sz w:val="20"/>
          <w:szCs w:val="20"/>
          <w:vertAlign w:val="superscript"/>
        </w:rPr>
        <w:footnoteReference w:id="25"/>
      </w:r>
      <w:r>
        <w:rPr>
          <w:sz w:val="20"/>
          <w:szCs w:val="20"/>
        </w:rPr>
        <w:t xml:space="preserve"> The Court did not consider the statutory definitions in isolation. Instead, it examined the broader statutory scheme, the FDA's prior position that it lacked jurisdiction over tobacco, and Congress's repeated enactment of tobacco-specific legislation against that regulatory background.</w:t>
      </w:r>
      <w:r>
        <w:rPr>
          <w:sz w:val="20"/>
          <w:szCs w:val="20"/>
          <w:vertAlign w:val="superscript"/>
        </w:rPr>
        <w:footnoteReference w:id="26"/>
      </w:r>
      <w:r>
        <w:rPr>
          <w:sz w:val="20"/>
          <w:szCs w:val="20"/>
        </w:rPr>
        <w:t xml:space="preserve"> The Court ultimately concluded that Congress had not granted the FDA authority to regulate tobacco products, emphasizing that Congress was unlikely to have delegated a decision of such “economic and political significance” through the statutory provisions on which the Agency relied.</w:t>
      </w:r>
      <w:r>
        <w:rPr>
          <w:sz w:val="20"/>
          <w:szCs w:val="20"/>
          <w:vertAlign w:val="superscript"/>
        </w:rPr>
        <w:footnoteReference w:id="27"/>
      </w:r>
      <w:r>
        <w:rPr>
          <w:sz w:val="20"/>
          <w:szCs w:val="20"/>
        </w:rPr>
        <w:t xml:space="preserve"> </w:t>
      </w:r>
      <w:r>
        <w:rPr>
          <w:i/>
          <w:iCs/>
          <w:sz w:val="20"/>
          <w:szCs w:val="20"/>
        </w:rPr>
        <w:t>Brown &amp; Williamson</w:t>
      </w:r>
      <w:r>
        <w:rPr>
          <w:sz w:val="20"/>
          <w:szCs w:val="20"/>
        </w:rPr>
        <w:t xml:space="preserve"> thus supplied an early version of a principle that would become central to the Major Questions Doctrine: the significance of an asserted regulatory power can affect how courts evaluate whether Congress conferred it.</w:t>
      </w:r>
    </w:p>
    <w:p w14:paraId="0000002D" w14:textId="77777777" w:rsidR="003074D1" w:rsidRDefault="00000000">
      <w:pPr>
        <w:spacing w:before="240" w:after="240" w:line="360" w:lineRule="auto"/>
        <w:ind w:firstLine="720"/>
        <w:jc w:val="both"/>
        <w:rPr>
          <w:sz w:val="20"/>
          <w:szCs w:val="20"/>
        </w:rPr>
      </w:pPr>
      <w:r>
        <w:rPr>
          <w:sz w:val="20"/>
          <w:szCs w:val="20"/>
        </w:rPr>
        <w:lastRenderedPageBreak/>
        <w:t xml:space="preserve">That reasoning appeared again in </w:t>
      </w:r>
      <w:r>
        <w:rPr>
          <w:i/>
          <w:iCs/>
          <w:sz w:val="20"/>
          <w:szCs w:val="20"/>
        </w:rPr>
        <w:t>Utility Air Regulatory Group v. EPA</w:t>
      </w:r>
      <w:r>
        <w:rPr>
          <w:sz w:val="20"/>
          <w:szCs w:val="20"/>
        </w:rPr>
        <w:t>. As discussed above, the Court rejected an interpretation of the Clean Air Act that would have dramatically expanded the Prevention of Significant Deterioration and Title V permitting programs.</w:t>
      </w:r>
      <w:r>
        <w:rPr>
          <w:sz w:val="20"/>
          <w:szCs w:val="20"/>
          <w:vertAlign w:val="superscript"/>
        </w:rPr>
        <w:footnoteReference w:id="28"/>
      </w:r>
      <w:r>
        <w:rPr>
          <w:sz w:val="20"/>
          <w:szCs w:val="20"/>
        </w:rPr>
        <w:t xml:space="preserve"> Beyond its immediate significance for greenhouse-gas regulation, however, </w:t>
      </w:r>
      <w:r>
        <w:rPr>
          <w:i/>
          <w:iCs/>
          <w:sz w:val="20"/>
          <w:szCs w:val="20"/>
        </w:rPr>
        <w:t>Utility Air</w:t>
      </w:r>
      <w:r>
        <w:rPr>
          <w:sz w:val="20"/>
          <w:szCs w:val="20"/>
        </w:rPr>
        <w:t xml:space="preserve"> articulated a broader principle of administrative statutory interpretation. The Court explained that agencies ordinarily must identify clear congressional authorization before claiming regulatory authority of “vast economic and political significance.” </w:t>
      </w:r>
      <w:r>
        <w:rPr>
          <w:sz w:val="20"/>
          <w:szCs w:val="20"/>
          <w:vertAlign w:val="superscript"/>
        </w:rPr>
        <w:footnoteReference w:id="29"/>
      </w:r>
      <w:r>
        <w:rPr>
          <w:sz w:val="20"/>
          <w:szCs w:val="20"/>
        </w:rPr>
        <w:t xml:space="preserve"> The decision therefore connected the Court's concern with consequential assertions of administrative power to the degree of statutory authorization necessary to sustain them.</w:t>
      </w:r>
    </w:p>
    <w:p w14:paraId="0000002E" w14:textId="77777777" w:rsidR="003074D1" w:rsidRDefault="00000000">
      <w:pPr>
        <w:spacing w:before="240" w:after="240" w:line="360" w:lineRule="auto"/>
        <w:ind w:firstLine="720"/>
        <w:jc w:val="both"/>
        <w:rPr>
          <w:i/>
          <w:iCs/>
          <w:sz w:val="20"/>
          <w:szCs w:val="20"/>
        </w:rPr>
      </w:pPr>
      <w:r>
        <w:rPr>
          <w:sz w:val="20"/>
          <w:szCs w:val="20"/>
        </w:rPr>
        <w:t xml:space="preserve">The Court applied similar reasoning during the COVID-19 pandemic. In </w:t>
      </w:r>
      <w:r>
        <w:rPr>
          <w:i/>
          <w:iCs/>
          <w:sz w:val="20"/>
          <w:szCs w:val="20"/>
        </w:rPr>
        <w:t>Alabama Ass'n of Realtors v. Department of Health &amp; Human Services</w:t>
      </w:r>
      <w:r>
        <w:rPr>
          <w:sz w:val="20"/>
          <w:szCs w:val="20"/>
        </w:rPr>
        <w:t>, the Centers for Disease Control and Prevention relied on § 361(a) of the Public Health Service Act to impose a nationwide eviction moratorium.</w:t>
      </w:r>
      <w:r>
        <w:rPr>
          <w:sz w:val="20"/>
          <w:szCs w:val="20"/>
          <w:vertAlign w:val="superscript"/>
        </w:rPr>
        <w:footnoteReference w:id="30"/>
      </w:r>
      <w:r>
        <w:rPr>
          <w:sz w:val="20"/>
          <w:szCs w:val="20"/>
        </w:rPr>
        <w:t xml:space="preserve"> The Court concluded that the statute, which authorized measures necessary to prevent the interstate spread of communicable disease, did not confer the sweeping authority claimed by the CDC.</w:t>
      </w:r>
      <w:r>
        <w:rPr>
          <w:sz w:val="20"/>
          <w:szCs w:val="20"/>
          <w:vertAlign w:val="superscript"/>
        </w:rPr>
        <w:footnoteReference w:id="31"/>
      </w:r>
      <w:r>
        <w:rPr>
          <w:sz w:val="20"/>
          <w:szCs w:val="20"/>
        </w:rPr>
        <w:t xml:space="preserve"> The economic and political significance of the moratorium reinforced the Court's reluctance to infer such authority from a provision that had not previously been understood to authorize comparable measures.</w:t>
      </w:r>
      <w:r>
        <w:rPr>
          <w:sz w:val="20"/>
          <w:szCs w:val="20"/>
          <w:vertAlign w:val="superscript"/>
        </w:rPr>
        <w:footnoteReference w:id="32"/>
      </w:r>
      <w:r>
        <w:rPr>
          <w:sz w:val="20"/>
          <w:szCs w:val="20"/>
        </w:rPr>
        <w:t xml:space="preserve"> If Congress intended to confer authority of that breadth, the Court reasoned, it was required to “speak clearly.” </w:t>
      </w:r>
    </w:p>
    <w:p w14:paraId="0000002F" w14:textId="77777777" w:rsidR="003074D1" w:rsidRDefault="00000000">
      <w:pPr>
        <w:spacing w:before="240" w:after="240" w:line="360" w:lineRule="auto"/>
        <w:ind w:firstLine="720"/>
        <w:jc w:val="both"/>
        <w:rPr>
          <w:sz w:val="20"/>
          <w:szCs w:val="20"/>
        </w:rPr>
      </w:pPr>
      <w:r>
        <w:rPr>
          <w:sz w:val="20"/>
          <w:szCs w:val="20"/>
        </w:rPr>
        <w:t xml:space="preserve">Several months later, </w:t>
      </w:r>
      <w:r>
        <w:rPr>
          <w:i/>
          <w:iCs/>
          <w:sz w:val="20"/>
          <w:szCs w:val="20"/>
        </w:rPr>
        <w:t>National Federation of Independent Business v. Department of Labor, Occupational Safety &amp; Health Administration</w:t>
      </w:r>
      <w:r>
        <w:rPr>
          <w:sz w:val="20"/>
          <w:szCs w:val="20"/>
        </w:rPr>
        <w:t xml:space="preserve"> applied the same principle to OSHA's COVID-19 vaccination-or-testing requirement for employers with at least 100 employees.</w:t>
      </w:r>
      <w:r>
        <w:rPr>
          <w:sz w:val="20"/>
          <w:szCs w:val="20"/>
          <w:vertAlign w:val="superscript"/>
        </w:rPr>
        <w:footnoteReference w:id="33"/>
      </w:r>
      <w:r>
        <w:rPr>
          <w:sz w:val="20"/>
          <w:szCs w:val="20"/>
        </w:rPr>
        <w:t xml:space="preserve"> The Court recognized OSHA's authority to regulate occupational dangers but concluded that the Agency's statutory authority did not extend to a broad public-health measure affecting approximately eighty-four million workers. The scale of the mandate and the nature of the authority asserted made clear congressional authorization necessary, and the Court found that authorization absent.</w:t>
      </w:r>
      <w:r>
        <w:rPr>
          <w:sz w:val="20"/>
          <w:szCs w:val="20"/>
          <w:vertAlign w:val="superscript"/>
        </w:rPr>
        <w:footnoteReference w:id="34"/>
      </w:r>
      <w:r>
        <w:rPr>
          <w:sz w:val="20"/>
          <w:szCs w:val="20"/>
        </w:rPr>
        <w:t xml:space="preserve"> The decision thus reinforced the distinction between an agency's established regulatory responsibilities and an assertion of substantially broader authority derived from general statutory language.</w:t>
      </w:r>
    </w:p>
    <w:p w14:paraId="00000030" w14:textId="77777777" w:rsidR="003074D1" w:rsidRDefault="00000000">
      <w:pPr>
        <w:spacing w:before="240" w:after="240" w:line="360" w:lineRule="auto"/>
        <w:ind w:firstLine="720"/>
        <w:jc w:val="both"/>
        <w:rPr>
          <w:sz w:val="20"/>
          <w:szCs w:val="20"/>
        </w:rPr>
      </w:pPr>
      <w:r>
        <w:rPr>
          <w:sz w:val="20"/>
          <w:szCs w:val="20"/>
        </w:rPr>
        <w:t xml:space="preserve">By the time </w:t>
      </w:r>
      <w:r>
        <w:rPr>
          <w:i/>
          <w:iCs/>
          <w:sz w:val="20"/>
          <w:szCs w:val="20"/>
        </w:rPr>
        <w:t>West Virginia</w:t>
      </w:r>
      <w:r>
        <w:rPr>
          <w:sz w:val="20"/>
          <w:szCs w:val="20"/>
        </w:rPr>
        <w:t xml:space="preserve"> reached the Court, these cases had established a recognizable interpretive pattern. Regulatory novelty, economic and political significance, agency history, and the relationship between asserted authority and an agency's traditional regulatory role could all provide reason to question whether general statutory language carried the delegation claimed. What remained less settled was the doctrinal status of that inquiry. </w:t>
      </w:r>
      <w:r>
        <w:rPr>
          <w:i/>
          <w:iCs/>
          <w:sz w:val="20"/>
          <w:szCs w:val="20"/>
        </w:rPr>
        <w:t>West Virginia</w:t>
      </w:r>
      <w:r>
        <w:rPr>
          <w:sz w:val="20"/>
          <w:szCs w:val="20"/>
        </w:rPr>
        <w:t xml:space="preserve"> supplied the answer by expressly describing these precedents as applications of the Major Questions Doctrine and distinguishing that doctrine from “routine statutory interpretation.” </w:t>
      </w:r>
      <w:r>
        <w:rPr>
          <w:sz w:val="20"/>
          <w:szCs w:val="20"/>
          <w:vertAlign w:val="superscript"/>
        </w:rPr>
        <w:footnoteReference w:id="35"/>
      </w:r>
      <w:r>
        <w:rPr>
          <w:sz w:val="20"/>
          <w:szCs w:val="20"/>
        </w:rPr>
        <w:t xml:space="preserve"> The decision therefore did not create the </w:t>
      </w:r>
      <w:r>
        <w:rPr>
          <w:sz w:val="20"/>
          <w:szCs w:val="20"/>
        </w:rPr>
        <w:lastRenderedPageBreak/>
        <w:t>underlying concern from whole cloth. It consolidated an emerging line of cases into a more explicit clear-authorization framework for determining when Congress has delegated authority over questions of extraordinary significance.</w:t>
      </w:r>
    </w:p>
    <w:p w14:paraId="00000031" w14:textId="77777777" w:rsidR="003074D1" w:rsidRDefault="00000000">
      <w:pPr>
        <w:pStyle w:val="Heading1"/>
        <w:keepNext w:val="0"/>
        <w:keepLines w:val="0"/>
        <w:spacing w:line="360" w:lineRule="auto"/>
      </w:pPr>
      <w:bookmarkStart w:id="7" w:name="_5pbxggmbyr07" w:colFirst="0" w:colLast="0"/>
      <w:bookmarkEnd w:id="7"/>
      <w:r>
        <w:t xml:space="preserve">III. </w:t>
      </w:r>
      <w:r>
        <w:rPr>
          <w:i/>
          <w:iCs/>
        </w:rPr>
        <w:t>West Virginia v. EPA</w:t>
      </w:r>
      <w:r>
        <w:t>: Reinterpreting Congressional Delegation</w:t>
      </w:r>
    </w:p>
    <w:p w14:paraId="00000032" w14:textId="77777777" w:rsidR="003074D1" w:rsidRDefault="00000000">
      <w:pPr>
        <w:pStyle w:val="Heading2"/>
        <w:keepNext w:val="0"/>
        <w:keepLines w:val="0"/>
        <w:spacing w:line="360" w:lineRule="auto"/>
      </w:pPr>
      <w:bookmarkStart w:id="8" w:name="_3yst3a44m1os" w:colFirst="0" w:colLast="0"/>
      <w:bookmarkEnd w:id="8"/>
      <w:r>
        <w:t>A. The Clean Power Plan and the Question Before the Court</w:t>
      </w:r>
    </w:p>
    <w:p w14:paraId="00000033" w14:textId="77777777" w:rsidR="003074D1" w:rsidRDefault="00000000">
      <w:pPr>
        <w:spacing w:before="240" w:after="240" w:line="360" w:lineRule="auto"/>
        <w:ind w:firstLine="720"/>
        <w:jc w:val="both"/>
        <w:rPr>
          <w:i/>
          <w:iCs/>
          <w:sz w:val="20"/>
          <w:szCs w:val="20"/>
        </w:rPr>
      </w:pPr>
      <w:r>
        <w:rPr>
          <w:sz w:val="20"/>
          <w:szCs w:val="20"/>
        </w:rPr>
        <w:t>The Clean Power Plan ("CPP") tested the limits of the authority described in the preceding cases. Acting under § 111(d), the EPA identified generation shifting as part of the "best system of emission reduction" for existing fossil-fuel-fired power plants.</w:t>
      </w:r>
      <w:r>
        <w:rPr>
          <w:sz w:val="20"/>
          <w:szCs w:val="20"/>
          <w:vertAlign w:val="superscript"/>
        </w:rPr>
        <w:footnoteReference w:id="36"/>
      </w:r>
      <w:r>
        <w:rPr>
          <w:sz w:val="20"/>
          <w:szCs w:val="20"/>
        </w:rPr>
        <w:t xml:space="preserve"> Rather than limiting emission reductions to measures applied at individual facilities, the CPP contemplated shifting electricity generation from higher-emitting coal-fired plants toward lower-emitting natural-gas and renewable sources.</w:t>
      </w:r>
      <w:r>
        <w:rPr>
          <w:sz w:val="20"/>
          <w:szCs w:val="20"/>
          <w:vertAlign w:val="superscript"/>
        </w:rPr>
        <w:footnoteReference w:id="37"/>
      </w:r>
      <w:r>
        <w:rPr>
          <w:sz w:val="20"/>
          <w:szCs w:val="20"/>
        </w:rPr>
        <w:t xml:space="preserve"> </w:t>
      </w:r>
    </w:p>
    <w:p w14:paraId="00000034" w14:textId="77777777" w:rsidR="003074D1" w:rsidRDefault="00000000">
      <w:pPr>
        <w:spacing w:before="240" w:after="240" w:line="360" w:lineRule="auto"/>
        <w:ind w:firstLine="720"/>
        <w:jc w:val="both"/>
        <w:rPr>
          <w:sz w:val="20"/>
          <w:szCs w:val="20"/>
        </w:rPr>
      </w:pPr>
      <w:r>
        <w:rPr>
          <w:sz w:val="20"/>
          <w:szCs w:val="20"/>
        </w:rPr>
        <w:t>The CPP never took effect. The Supreme Court stayed implementation of the rule in 2016, and the EPA later repealed and replaced it during the Trump Administration.</w:t>
      </w:r>
      <w:r>
        <w:rPr>
          <w:sz w:val="20"/>
          <w:szCs w:val="20"/>
          <w:vertAlign w:val="superscript"/>
        </w:rPr>
        <w:footnoteReference w:id="38"/>
      </w:r>
      <w:r>
        <w:rPr>
          <w:sz w:val="20"/>
          <w:szCs w:val="20"/>
        </w:rPr>
        <w:t xml:space="preserve"> After the D.C. Circuit vacated that repeal, several states and private parties sought Supreme Court review of the scope of EPA authority under § 111(d).</w:t>
      </w:r>
      <w:r>
        <w:rPr>
          <w:sz w:val="20"/>
          <w:szCs w:val="20"/>
          <w:vertAlign w:val="superscript"/>
        </w:rPr>
        <w:footnoteReference w:id="39"/>
      </w:r>
      <w:r>
        <w:rPr>
          <w:sz w:val="20"/>
          <w:szCs w:val="20"/>
        </w:rPr>
        <w:t xml:space="preserve"> The dispute thus presented a statutory question the Court's earlier climate cases had not resolved. </w:t>
      </w:r>
      <w:r>
        <w:rPr>
          <w:i/>
          <w:iCs/>
          <w:sz w:val="20"/>
          <w:szCs w:val="20"/>
        </w:rPr>
        <w:t>Massachusetts</w:t>
      </w:r>
      <w:r>
        <w:rPr>
          <w:sz w:val="20"/>
          <w:szCs w:val="20"/>
        </w:rPr>
        <w:t xml:space="preserve"> established that broad statutory language could encompass greenhouse gases, while </w:t>
      </w:r>
      <w:r>
        <w:rPr>
          <w:i/>
          <w:iCs/>
          <w:sz w:val="20"/>
          <w:szCs w:val="20"/>
        </w:rPr>
        <w:t>Utility Air</w:t>
      </w:r>
      <w:r>
        <w:rPr>
          <w:sz w:val="20"/>
          <w:szCs w:val="20"/>
        </w:rPr>
        <w:t xml:space="preserve"> demonstrated that statutory context could limit the regulatory consequences of that breadth. The CPP raised a further question: whether the general language of § 111(d) was sufficient to authorize generation shifting when the asserted power carried consequences for the structure of the national electricity sector. </w:t>
      </w:r>
      <w:r>
        <w:rPr>
          <w:i/>
          <w:iCs/>
          <w:sz w:val="20"/>
          <w:szCs w:val="20"/>
        </w:rPr>
        <w:t>West Virginia</w:t>
      </w:r>
      <w:r>
        <w:rPr>
          <w:sz w:val="20"/>
          <w:szCs w:val="20"/>
        </w:rPr>
        <w:t xml:space="preserve"> answered that question through the Major Questions Doctrine.</w:t>
      </w:r>
    </w:p>
    <w:p w14:paraId="00000035" w14:textId="77777777" w:rsidR="003074D1" w:rsidRDefault="00000000">
      <w:pPr>
        <w:pStyle w:val="Heading2"/>
        <w:keepNext w:val="0"/>
        <w:keepLines w:val="0"/>
        <w:spacing w:line="360" w:lineRule="auto"/>
      </w:pPr>
      <w:bookmarkStart w:id="9" w:name="_4lcglh8vjjwa" w:colFirst="0" w:colLast="0"/>
      <w:bookmarkEnd w:id="9"/>
      <w:r>
        <w:t>B. The Majority's Interpretation of Congressional Delegation</w:t>
      </w:r>
    </w:p>
    <w:p w14:paraId="00000036" w14:textId="77777777" w:rsidR="003074D1" w:rsidRDefault="00000000">
      <w:pPr>
        <w:spacing w:before="240" w:after="240" w:line="360" w:lineRule="auto"/>
        <w:ind w:firstLine="720"/>
        <w:jc w:val="both"/>
        <w:rPr>
          <w:sz w:val="20"/>
          <w:szCs w:val="20"/>
        </w:rPr>
      </w:pPr>
      <w:r>
        <w:rPr>
          <w:sz w:val="20"/>
          <w:szCs w:val="20"/>
        </w:rPr>
        <w:t>Chief Justice Roberts, writing for the Court, concluded that § 111(d) did not clearly authorize the generation-shifting approach embodied in the CPP.</w:t>
      </w:r>
      <w:r>
        <w:rPr>
          <w:sz w:val="20"/>
          <w:szCs w:val="20"/>
          <w:vertAlign w:val="superscript"/>
        </w:rPr>
        <w:footnoteReference w:id="40"/>
      </w:r>
      <w:r>
        <w:rPr>
          <w:sz w:val="20"/>
          <w:szCs w:val="20"/>
        </w:rPr>
        <w:t xml:space="preserve"> The majority did not begin by asking only whether the phrase "best system of emission reduction" could plausibly bear the EPA's interpretation. Instead, it first considered whether the "history and the breadth of the authority" asserted, together with its "economic and political significance," supplied reason to hesitate before concluding that Congress had conferred that power.</w:t>
      </w:r>
      <w:r>
        <w:rPr>
          <w:sz w:val="20"/>
          <w:szCs w:val="20"/>
          <w:vertAlign w:val="superscript"/>
        </w:rPr>
        <w:footnoteReference w:id="41"/>
      </w:r>
      <w:r>
        <w:rPr>
          <w:sz w:val="20"/>
          <w:szCs w:val="20"/>
        </w:rPr>
        <w:t xml:space="preserve"> </w:t>
      </w:r>
    </w:p>
    <w:p w14:paraId="00000037" w14:textId="77777777" w:rsidR="003074D1" w:rsidRDefault="00000000">
      <w:pPr>
        <w:spacing w:before="240" w:after="240" w:line="360" w:lineRule="auto"/>
        <w:ind w:firstLine="720"/>
        <w:jc w:val="both"/>
        <w:rPr>
          <w:sz w:val="20"/>
          <w:szCs w:val="20"/>
        </w:rPr>
      </w:pPr>
      <w:r>
        <w:rPr>
          <w:sz w:val="20"/>
          <w:szCs w:val="20"/>
        </w:rPr>
        <w:t xml:space="preserve">Several features of the CPP led the Court to answer that threshold question affirmatively. The majority emphasized the economic and political consequences of shifting electricity generation among energy sources, the novelty of the EPA's use of § 111(d), the Agency's prior regulatory practice, and Congress's consideration of </w:t>
      </w:r>
      <w:r>
        <w:rPr>
          <w:sz w:val="20"/>
          <w:szCs w:val="20"/>
        </w:rPr>
        <w:lastRenderedPageBreak/>
        <w:t>comparable policies governing electricity generation.</w:t>
      </w:r>
      <w:r>
        <w:rPr>
          <w:sz w:val="20"/>
          <w:szCs w:val="20"/>
          <w:vertAlign w:val="superscript"/>
        </w:rPr>
        <w:footnoteReference w:id="42"/>
      </w:r>
      <w:r>
        <w:rPr>
          <w:sz w:val="20"/>
          <w:szCs w:val="20"/>
        </w:rPr>
        <w:t xml:space="preserve"> Taken together, those considerations placed the CPP within the category of "extraordinary cases" governed by the Major Questions Doctrine.</w:t>
      </w:r>
      <w:r>
        <w:rPr>
          <w:sz w:val="20"/>
          <w:szCs w:val="20"/>
          <w:vertAlign w:val="superscript"/>
        </w:rPr>
        <w:footnoteReference w:id="43"/>
      </w:r>
      <w:r>
        <w:rPr>
          <w:sz w:val="20"/>
          <w:szCs w:val="20"/>
        </w:rPr>
        <w:t xml:space="preserve"> That classification altered what the statutory text had to establish. A "merely plausible textual basis" was insufficient; the EPA instead had to identify "clear congressional authorization" for the power claimed.</w:t>
      </w:r>
      <w:r>
        <w:rPr>
          <w:sz w:val="20"/>
          <w:szCs w:val="20"/>
          <w:vertAlign w:val="superscript"/>
        </w:rPr>
        <w:footnoteReference w:id="44"/>
      </w:r>
      <w:r>
        <w:rPr>
          <w:sz w:val="20"/>
          <w:szCs w:val="20"/>
        </w:rPr>
        <w:t xml:space="preserve"> The Court concluded that the phrase "best system of emission reduction" did not clearly authorize the EPA to determine the overall mix of electricity generation through § 111(d).</w:t>
      </w:r>
      <w:r>
        <w:rPr>
          <w:sz w:val="20"/>
          <w:szCs w:val="20"/>
          <w:vertAlign w:val="superscript"/>
        </w:rPr>
        <w:footnoteReference w:id="45"/>
      </w:r>
      <w:r>
        <w:rPr>
          <w:sz w:val="20"/>
          <w:szCs w:val="20"/>
        </w:rPr>
        <w:t xml:space="preserve"> The CPP therefore exceeded the authority Congress had conferred on the Agency.</w:t>
      </w:r>
      <w:r>
        <w:rPr>
          <w:sz w:val="20"/>
          <w:szCs w:val="20"/>
          <w:vertAlign w:val="superscript"/>
        </w:rPr>
        <w:footnoteReference w:id="46"/>
      </w:r>
    </w:p>
    <w:p w14:paraId="00000038" w14:textId="77777777" w:rsidR="003074D1" w:rsidRDefault="00000000">
      <w:pPr>
        <w:spacing w:before="240" w:after="240" w:line="360" w:lineRule="auto"/>
        <w:ind w:firstLine="720"/>
        <w:jc w:val="both"/>
        <w:rPr>
          <w:sz w:val="20"/>
          <w:szCs w:val="20"/>
        </w:rPr>
      </w:pPr>
      <w:r>
        <w:rPr>
          <w:sz w:val="20"/>
          <w:szCs w:val="20"/>
        </w:rPr>
        <w:t>The holding concerned the scope of § 111(d), but its reasoning extended beyond that provision. Massachusetts had demonstrated that broadly worded statutory text could reach circumstances Congress did not specifically anticipate, while Utility Air had cautioned that context and statutory structure constrain the reach of general language. West Virginia added a distinct requirement for extraordinary assertions of agency power: once a court identifies a major question, a plausible interpretation of general statutory language is insufficient without clear congressional authorization.</w:t>
      </w:r>
      <w:r>
        <w:rPr>
          <w:sz w:val="20"/>
          <w:szCs w:val="20"/>
          <w:vertAlign w:val="superscript"/>
        </w:rPr>
        <w:footnoteReference w:id="47"/>
      </w:r>
      <w:r>
        <w:rPr>
          <w:sz w:val="20"/>
          <w:szCs w:val="20"/>
        </w:rPr>
        <w:t xml:space="preserve"> The Court did not hold that Congress lacked constitutional authority to authorize generation shifting; it held that Congress had not done so through § 111(d).</w:t>
      </w:r>
      <w:r>
        <w:rPr>
          <w:sz w:val="20"/>
          <w:szCs w:val="20"/>
          <w:vertAlign w:val="superscript"/>
        </w:rPr>
        <w:footnoteReference w:id="48"/>
      </w:r>
      <w:r>
        <w:rPr>
          <w:sz w:val="20"/>
          <w:szCs w:val="20"/>
        </w:rPr>
        <w:t xml:space="preserve"> The doctrine therefore concerns how courts identify the existence and scope of delegated authority, rather than Congress's constitutional capacity to delegate.</w:t>
      </w:r>
    </w:p>
    <w:p w14:paraId="00000039" w14:textId="77777777" w:rsidR="003074D1" w:rsidRDefault="00000000">
      <w:pPr>
        <w:pStyle w:val="Heading2"/>
        <w:keepNext w:val="0"/>
        <w:keepLines w:val="0"/>
        <w:spacing w:line="360" w:lineRule="auto"/>
      </w:pPr>
      <w:bookmarkStart w:id="10" w:name="_4unei5ds7ka2" w:colFirst="0" w:colLast="0"/>
      <w:bookmarkEnd w:id="10"/>
      <w:r>
        <w:t>C. Justice Kagan's Competing Understanding of Delegation</w:t>
      </w:r>
    </w:p>
    <w:p w14:paraId="0000003A" w14:textId="77777777" w:rsidR="003074D1" w:rsidRDefault="00000000">
      <w:pPr>
        <w:spacing w:before="240" w:after="240" w:line="360" w:lineRule="auto"/>
        <w:ind w:firstLine="720"/>
        <w:jc w:val="both"/>
        <w:rPr>
          <w:i/>
          <w:iCs/>
          <w:sz w:val="20"/>
          <w:szCs w:val="20"/>
        </w:rPr>
      </w:pPr>
      <w:r>
        <w:rPr>
          <w:sz w:val="20"/>
          <w:szCs w:val="20"/>
        </w:rPr>
        <w:t>Justice Kagan's dissent challenged both the majority's interpretation of § 111(d) and the interpretive framework used to reach it. In her view, Congress's choice of the phrase "best system of emission reduction" deliberately assigned the EPA substantial flexibility in determining how emissions from existing sources should be reduced.</w:t>
      </w:r>
      <w:r>
        <w:rPr>
          <w:sz w:val="20"/>
          <w:szCs w:val="20"/>
          <w:vertAlign w:val="superscript"/>
        </w:rPr>
        <w:footnoteReference w:id="49"/>
      </w:r>
      <w:r>
        <w:rPr>
          <w:sz w:val="20"/>
          <w:szCs w:val="20"/>
        </w:rPr>
        <w:t xml:space="preserve"> Because Congress legislated through a broad standard rather than an exhaustive list of permissible control measures, the statutory text was capable of accommodating regulatory approaches responsive to changing technologies and environmental conditions.</w:t>
      </w:r>
      <w:r>
        <w:rPr>
          <w:sz w:val="20"/>
          <w:szCs w:val="20"/>
          <w:vertAlign w:val="superscript"/>
        </w:rPr>
        <w:footnoteReference w:id="50"/>
      </w:r>
    </w:p>
    <w:p w14:paraId="0000003B" w14:textId="77777777" w:rsidR="003074D1" w:rsidRDefault="00000000">
      <w:pPr>
        <w:spacing w:before="240" w:after="240" w:line="360" w:lineRule="auto"/>
        <w:ind w:firstLine="720"/>
        <w:jc w:val="both"/>
        <w:rPr>
          <w:sz w:val="20"/>
          <w:szCs w:val="20"/>
        </w:rPr>
      </w:pPr>
      <w:r>
        <w:rPr>
          <w:sz w:val="20"/>
          <w:szCs w:val="20"/>
        </w:rPr>
        <w:t>The majority and dissent therefore attributed different significance to the same statutory generality. For the majority, the breadth of § 111(d) could not establish authority of the magnitude asserted without clearer evidence from Congress.</w:t>
      </w:r>
      <w:r>
        <w:rPr>
          <w:sz w:val="20"/>
          <w:szCs w:val="20"/>
          <w:vertAlign w:val="superscript"/>
        </w:rPr>
        <w:footnoteReference w:id="51"/>
      </w:r>
      <w:r>
        <w:rPr>
          <w:sz w:val="20"/>
          <w:szCs w:val="20"/>
        </w:rPr>
        <w:t xml:space="preserve"> For the dissent, the breadth of the provision was itself part of Congress's legislative design: general language allowed the expert agency charged with administering the statute to determine how the statutory standard should apply to problems that Congress could not resolve in advance.</w:t>
      </w:r>
      <w:r>
        <w:rPr>
          <w:sz w:val="20"/>
          <w:szCs w:val="20"/>
          <w:vertAlign w:val="superscript"/>
        </w:rPr>
        <w:footnoteReference w:id="52"/>
      </w:r>
      <w:r>
        <w:rPr>
          <w:sz w:val="20"/>
          <w:szCs w:val="20"/>
        </w:rPr>
        <w:t xml:space="preserve"> Justice Kagan also objected to the majority's </w:t>
      </w:r>
      <w:r>
        <w:rPr>
          <w:sz w:val="20"/>
          <w:szCs w:val="20"/>
        </w:rPr>
        <w:lastRenderedPageBreak/>
        <w:t>treatment of the Major Questions Doctrine as a distinct clear-authorization requirement. She understood the Court's earlier major-questions cases as applications of ordinary statutory interpretation in circumstances where an agency's asserted authority fit poorly with the statutory design, its traditional regulatory role, or the authority Congress had otherwise conferred.</w:t>
      </w:r>
      <w:r>
        <w:rPr>
          <w:sz w:val="20"/>
          <w:szCs w:val="20"/>
          <w:vertAlign w:val="superscript"/>
        </w:rPr>
        <w:footnoteReference w:id="53"/>
      </w:r>
      <w:r>
        <w:rPr>
          <w:sz w:val="20"/>
          <w:szCs w:val="20"/>
        </w:rPr>
        <w:t xml:space="preserve"> The majority, by contrast, treated those cases as establishing an identifiable doctrine under which extraordinary assertions of agency power require clear congressional authorization.</w:t>
      </w:r>
      <w:r>
        <w:rPr>
          <w:sz w:val="20"/>
          <w:szCs w:val="20"/>
          <w:vertAlign w:val="superscript"/>
        </w:rPr>
        <w:footnoteReference w:id="54"/>
      </w:r>
    </w:p>
    <w:p w14:paraId="0000003C" w14:textId="77777777" w:rsidR="003074D1" w:rsidRDefault="00000000">
      <w:pPr>
        <w:spacing w:before="240" w:after="240" w:line="360" w:lineRule="auto"/>
        <w:ind w:firstLine="720"/>
        <w:jc w:val="both"/>
        <w:rPr>
          <w:sz w:val="20"/>
          <w:szCs w:val="20"/>
        </w:rPr>
      </w:pPr>
      <w:r>
        <w:rPr>
          <w:sz w:val="20"/>
          <w:szCs w:val="20"/>
        </w:rPr>
        <w:t>That disagreement exposes the institutional question underlying the case. Both approaches begin from the premise that administrative agencies possess only authority conferred by Congress. They differ over how courts should identify that authority when Congress legislates in general terms. The majority treats the significance of an asserted regulatory power as a reason to demand clearer evidence of delegation; the dissent treats statutory breadth as capable of reflecting Congress's deliberate decision to leave consequential implementation judgments to an expert agency. The choice between those approaches determines not only the scope of agency authority, but also the judiciary's role in defining the boundaries of congressional delegation.</w:t>
      </w:r>
    </w:p>
    <w:p w14:paraId="0000003D" w14:textId="77777777" w:rsidR="003074D1" w:rsidRDefault="00000000">
      <w:pPr>
        <w:pStyle w:val="Heading1"/>
        <w:keepNext w:val="0"/>
        <w:keepLines w:val="0"/>
        <w:spacing w:line="360" w:lineRule="auto"/>
      </w:pPr>
      <w:bookmarkStart w:id="11" w:name="_igyuao9o66a7" w:colFirst="0" w:colLast="0"/>
      <w:bookmarkEnd w:id="11"/>
      <w:r>
        <w:t>IV. The Major Questions Doctrine as a Rule of Statutory Interpretation</w:t>
      </w:r>
    </w:p>
    <w:p w14:paraId="0000003E" w14:textId="77777777" w:rsidR="003074D1" w:rsidRDefault="00000000">
      <w:pPr>
        <w:pStyle w:val="Heading2"/>
        <w:keepNext w:val="0"/>
        <w:keepLines w:val="0"/>
        <w:spacing w:line="360" w:lineRule="auto"/>
      </w:pPr>
      <w:bookmarkStart w:id="12" w:name="_ebat1m4gu6hp" w:colFirst="0" w:colLast="0"/>
      <w:bookmarkEnd w:id="12"/>
      <w:r>
        <w:t>A. From Statutory Generality to Clear Congressional Authorization</w:t>
      </w:r>
    </w:p>
    <w:p w14:paraId="0000003F" w14:textId="77777777" w:rsidR="003074D1" w:rsidRDefault="00000000">
      <w:pPr>
        <w:spacing w:before="240" w:after="240" w:line="360" w:lineRule="auto"/>
        <w:ind w:firstLine="720"/>
        <w:jc w:val="both"/>
        <w:rPr>
          <w:sz w:val="20"/>
          <w:szCs w:val="20"/>
        </w:rPr>
      </w:pPr>
      <w:r>
        <w:rPr>
          <w:sz w:val="20"/>
          <w:szCs w:val="20"/>
        </w:rPr>
        <w:t xml:space="preserve">The competing approaches in </w:t>
      </w:r>
      <w:r>
        <w:rPr>
          <w:i/>
          <w:iCs/>
          <w:sz w:val="20"/>
          <w:szCs w:val="20"/>
        </w:rPr>
        <w:t>West Virginia</w:t>
      </w:r>
      <w:r>
        <w:rPr>
          <w:sz w:val="20"/>
          <w:szCs w:val="20"/>
        </w:rPr>
        <w:t xml:space="preserve"> reveal that the Major Questions Doctrine is fundamentally a rule about how courts interpret congressional delegations. The doctrine does not alter Congress's constitutional capacity to confer substantial regulatory authority. It changes what statutory language must establish before a court will conclude that Congress has conferred authority of extraordinary economic or political significance.</w:t>
      </w:r>
      <w:r>
        <w:rPr>
          <w:sz w:val="20"/>
          <w:szCs w:val="20"/>
          <w:vertAlign w:val="superscript"/>
        </w:rPr>
        <w:footnoteReference w:id="55"/>
      </w:r>
      <w:r>
        <w:rPr>
          <w:sz w:val="20"/>
          <w:szCs w:val="20"/>
        </w:rPr>
        <w:t xml:space="preserve"> That distinction changes the interpretive significance of statutory generality. Broad language ordinarily requires courts to determine how far Congress intended a statutory command to reach. In the major-questions context, however, a plausible interpretation of general language is insufficient to establish an extraordinary delegation. Once the doctrine applies, the agency must identify clear congressional authorization for the power claimed.</w:t>
      </w:r>
      <w:r>
        <w:rPr>
          <w:sz w:val="20"/>
          <w:szCs w:val="20"/>
          <w:vertAlign w:val="superscript"/>
        </w:rPr>
        <w:footnoteReference w:id="56"/>
      </w:r>
      <w:r>
        <w:rPr>
          <w:sz w:val="20"/>
          <w:szCs w:val="20"/>
        </w:rPr>
        <w:t xml:space="preserve"> The significance of the doctrine therefore lies not merely in restricting administrative discretion, but in establishing a heightened interpretive requirement for recognizing certain delegations in the first instance.</w:t>
      </w:r>
    </w:p>
    <w:p w14:paraId="00000040" w14:textId="77777777" w:rsidR="003074D1" w:rsidRDefault="00000000">
      <w:pPr>
        <w:spacing w:before="240" w:after="240" w:line="360" w:lineRule="auto"/>
        <w:ind w:firstLine="720"/>
        <w:jc w:val="both"/>
        <w:rPr>
          <w:sz w:val="20"/>
          <w:szCs w:val="20"/>
        </w:rPr>
      </w:pPr>
      <w:r>
        <w:rPr>
          <w:i/>
          <w:iCs/>
          <w:sz w:val="20"/>
          <w:szCs w:val="20"/>
        </w:rPr>
        <w:t>Biden v. Nebraska</w:t>
      </w:r>
      <w:r>
        <w:rPr>
          <w:sz w:val="20"/>
          <w:szCs w:val="20"/>
        </w:rPr>
        <w:t xml:space="preserve"> confirms that this framework is not peculiar to environmental regulation. The Secretary of Education relied on the HEROES Act to cancel approximately $430 billion in student-loan principal for tens of millions of borrowers.</w:t>
      </w:r>
      <w:r>
        <w:rPr>
          <w:sz w:val="20"/>
          <w:szCs w:val="20"/>
          <w:vertAlign w:val="superscript"/>
        </w:rPr>
        <w:footnoteReference w:id="57"/>
      </w:r>
      <w:r>
        <w:rPr>
          <w:sz w:val="20"/>
          <w:szCs w:val="20"/>
        </w:rPr>
        <w:t xml:space="preserve"> The Court concluded that the asserted authority presented a major question and that the statute did not provide the clear congressional authorization necessary for a program of that magnitude.</w:t>
      </w:r>
      <w:r>
        <w:rPr>
          <w:i/>
          <w:iCs/>
          <w:sz w:val="20"/>
          <w:szCs w:val="20"/>
          <w:vertAlign w:val="superscript"/>
        </w:rPr>
        <w:footnoteReference w:id="58"/>
      </w:r>
      <w:r>
        <w:rPr>
          <w:sz w:val="20"/>
          <w:szCs w:val="20"/>
        </w:rPr>
        <w:t xml:space="preserve"> The decision </w:t>
      </w:r>
      <w:r>
        <w:rPr>
          <w:sz w:val="20"/>
          <w:szCs w:val="20"/>
        </w:rPr>
        <w:lastRenderedPageBreak/>
        <w:t xml:space="preserve">extends the interpretive logic of </w:t>
      </w:r>
      <w:r>
        <w:rPr>
          <w:i/>
          <w:iCs/>
          <w:sz w:val="20"/>
          <w:szCs w:val="20"/>
        </w:rPr>
        <w:t>West Virginia</w:t>
      </w:r>
      <w:r>
        <w:rPr>
          <w:sz w:val="20"/>
          <w:szCs w:val="20"/>
        </w:rPr>
        <w:t xml:space="preserve"> beyond the Clean Air Act: when an agency claims consequential regulatory power from broadly phrased statutory authority, the significance of the asserted power itself affects what the Court requires from the statutory text.</w:t>
      </w:r>
    </w:p>
    <w:p w14:paraId="00000041" w14:textId="77777777" w:rsidR="003074D1" w:rsidRDefault="00000000">
      <w:pPr>
        <w:spacing w:before="240" w:after="240" w:line="360" w:lineRule="auto"/>
        <w:ind w:firstLine="720"/>
        <w:jc w:val="both"/>
        <w:rPr>
          <w:sz w:val="20"/>
          <w:szCs w:val="20"/>
        </w:rPr>
      </w:pPr>
      <w:r>
        <w:rPr>
          <w:sz w:val="20"/>
          <w:szCs w:val="20"/>
        </w:rPr>
        <w:t xml:space="preserve">The surrounding law of administrative statutory interpretation changed further in </w:t>
      </w:r>
      <w:r>
        <w:rPr>
          <w:i/>
          <w:iCs/>
          <w:sz w:val="20"/>
          <w:szCs w:val="20"/>
        </w:rPr>
        <w:t>Loper Bright Enterprises v. Raimondo</w:t>
      </w:r>
      <w:r>
        <w:rPr>
          <w:sz w:val="20"/>
          <w:szCs w:val="20"/>
        </w:rPr>
        <w:t xml:space="preserve">. There, the Court overruled </w:t>
      </w:r>
      <w:r>
        <w:rPr>
          <w:i/>
          <w:iCs/>
          <w:sz w:val="20"/>
          <w:szCs w:val="20"/>
        </w:rPr>
        <w:t>Chevron</w:t>
      </w:r>
      <w:r>
        <w:rPr>
          <w:sz w:val="20"/>
          <w:szCs w:val="20"/>
        </w:rPr>
        <w:t xml:space="preserve"> and held that courts must exercise independent judgment in determining the meaning of agency-administered statutes.</w:t>
      </w:r>
      <w:r>
        <w:rPr>
          <w:sz w:val="20"/>
          <w:szCs w:val="20"/>
          <w:vertAlign w:val="superscript"/>
        </w:rPr>
        <w:footnoteReference w:id="59"/>
      </w:r>
      <w:r>
        <w:rPr>
          <w:sz w:val="20"/>
          <w:szCs w:val="20"/>
        </w:rPr>
        <w:t xml:space="preserve"> </w:t>
      </w:r>
      <w:r>
        <w:rPr>
          <w:i/>
          <w:iCs/>
          <w:sz w:val="20"/>
          <w:szCs w:val="20"/>
        </w:rPr>
        <w:t>Loper Bright</w:t>
      </w:r>
      <w:r>
        <w:rPr>
          <w:sz w:val="20"/>
          <w:szCs w:val="20"/>
        </w:rPr>
        <w:t xml:space="preserve"> and the Major Questions Doctrine address distinct problems. </w:t>
      </w:r>
      <w:r>
        <w:rPr>
          <w:i/>
          <w:iCs/>
          <w:sz w:val="20"/>
          <w:szCs w:val="20"/>
        </w:rPr>
        <w:t>Loper Bright</w:t>
      </w:r>
      <w:r>
        <w:rPr>
          <w:sz w:val="20"/>
          <w:szCs w:val="20"/>
        </w:rPr>
        <w:t xml:space="preserve"> rejects a general rule of judicial deference based on statutory ambiguity; the Major Questions Doctrine imposes a clear-authorization requirement in the narrower category of extraordinary assertions of agency authority. Their combined significance nevertheless lies in the responsibility assigned to courts. Statutory ambiguity no longer establishes agency interpretive primacy, and statutory generality does not establish extraordinary regulatory authority when the Major Questions Doctrine applies.</w:t>
      </w:r>
    </w:p>
    <w:p w14:paraId="00000042" w14:textId="77777777" w:rsidR="003074D1" w:rsidRDefault="00000000">
      <w:pPr>
        <w:pStyle w:val="Heading2"/>
        <w:keepNext w:val="0"/>
        <w:keepLines w:val="0"/>
        <w:spacing w:line="360" w:lineRule="auto"/>
      </w:pPr>
      <w:bookmarkStart w:id="13" w:name="_a0ycehcts1q0" w:colFirst="0" w:colLast="0"/>
      <w:bookmarkEnd w:id="13"/>
      <w:r>
        <w:t>B. The Allocation of Institutional Authority</w:t>
      </w:r>
    </w:p>
    <w:p w14:paraId="00000043" w14:textId="77777777" w:rsidR="003074D1" w:rsidRDefault="00000000">
      <w:pPr>
        <w:spacing w:before="240" w:after="240" w:line="360" w:lineRule="auto"/>
        <w:ind w:firstLine="720"/>
        <w:jc w:val="both"/>
        <w:rPr>
          <w:sz w:val="20"/>
          <w:szCs w:val="20"/>
        </w:rPr>
      </w:pPr>
      <w:r>
        <w:rPr>
          <w:sz w:val="20"/>
          <w:szCs w:val="20"/>
        </w:rPr>
        <w:t>The resulting framework reallocates interpretive responsibility without eliminating administrative discretion. Congress remains responsible for creating regulatory authority, courts determine the legal boundaries of that authority, and agencies exercise the discretion Congress has lawfully conferred. The difficult question is therefore not whether agencies retain expertise or policymaking responsibility, but where statutory interpretation ends and permissible administrative implementation begins.</w:t>
      </w:r>
    </w:p>
    <w:p w14:paraId="00000044" w14:textId="77777777" w:rsidR="003074D1" w:rsidRDefault="00000000">
      <w:pPr>
        <w:spacing w:before="240" w:after="240" w:line="360" w:lineRule="auto"/>
        <w:ind w:firstLine="720"/>
        <w:jc w:val="both"/>
        <w:rPr>
          <w:sz w:val="20"/>
          <w:szCs w:val="20"/>
        </w:rPr>
      </w:pPr>
      <w:r>
        <w:rPr>
          <w:sz w:val="20"/>
          <w:szCs w:val="20"/>
        </w:rPr>
        <w:t xml:space="preserve">The Court's recent decisions illustrate that distinction. </w:t>
      </w:r>
      <w:r>
        <w:rPr>
          <w:i/>
          <w:iCs/>
          <w:sz w:val="20"/>
          <w:szCs w:val="20"/>
        </w:rPr>
        <w:t>West Virginia and Loper Bright r</w:t>
      </w:r>
      <w:r>
        <w:rPr>
          <w:sz w:val="20"/>
          <w:szCs w:val="20"/>
        </w:rPr>
        <w:t>einforce judicial responsibility for determining the existence and scope of statutory authority.</w:t>
      </w:r>
      <w:r>
        <w:rPr>
          <w:i/>
          <w:iCs/>
          <w:sz w:val="20"/>
          <w:szCs w:val="20"/>
        </w:rPr>
        <w:t xml:space="preserve"> </w:t>
      </w:r>
      <w:r>
        <w:rPr>
          <w:sz w:val="20"/>
          <w:szCs w:val="20"/>
        </w:rPr>
        <w:t xml:space="preserve">Yet </w:t>
      </w:r>
      <w:r>
        <w:rPr>
          <w:i/>
          <w:iCs/>
          <w:sz w:val="20"/>
          <w:szCs w:val="20"/>
        </w:rPr>
        <w:t>Seven County Infrastructure Coalition v. Eagle County</w:t>
      </w:r>
      <w:r>
        <w:rPr>
          <w:sz w:val="20"/>
          <w:szCs w:val="20"/>
        </w:rPr>
        <w:t xml:space="preserve"> demonstrates that agency judgment remains significant once Congress has assigned a matter to administrative discretion. In reviewing compliance with the National Environmental Policy Act, the Court emphasized that courts must afford agencies substantial deference concerning the scope and detail of environmental impact analysis.</w:t>
      </w:r>
      <w:r>
        <w:rPr>
          <w:sz w:val="20"/>
          <w:szCs w:val="20"/>
          <w:vertAlign w:val="superscript"/>
        </w:rPr>
        <w:footnoteReference w:id="60"/>
      </w:r>
      <w:r>
        <w:rPr>
          <w:sz w:val="20"/>
          <w:szCs w:val="20"/>
        </w:rPr>
        <w:t xml:space="preserve"> The decision therefore complicates any characterization of contemporary administrative law as categorically hostile to agency expertise. The emerging distinction is instead between judicial control over questions of statutory authority and administrative discretion exercised within authority Congress has actually conferred. That distinction is consistent with </w:t>
      </w:r>
      <w:r>
        <w:rPr>
          <w:i/>
          <w:iCs/>
          <w:sz w:val="20"/>
          <w:szCs w:val="20"/>
        </w:rPr>
        <w:t>Loper Bright</w:t>
      </w:r>
      <w:r>
        <w:rPr>
          <w:sz w:val="20"/>
          <w:szCs w:val="20"/>
        </w:rPr>
        <w:t xml:space="preserve"> itself. Although the Court rejected </w:t>
      </w:r>
      <w:r>
        <w:rPr>
          <w:i/>
          <w:iCs/>
          <w:sz w:val="20"/>
          <w:szCs w:val="20"/>
        </w:rPr>
        <w:t>Chevron</w:t>
      </w:r>
      <w:r>
        <w:rPr>
          <w:sz w:val="20"/>
          <w:szCs w:val="20"/>
        </w:rPr>
        <w:t>'s rule of deference to reasonable agency interpretations of ambiguous statutes, it recognized that Congress may expressly delegate discretionary authority and that courts must respect agency decisions made within those statutory boundaries.</w:t>
      </w:r>
      <w:r>
        <w:rPr>
          <w:sz w:val="20"/>
          <w:szCs w:val="20"/>
          <w:vertAlign w:val="superscript"/>
        </w:rPr>
        <w:footnoteReference w:id="61"/>
      </w:r>
      <w:r>
        <w:rPr>
          <w:sz w:val="20"/>
          <w:szCs w:val="20"/>
        </w:rPr>
        <w:t xml:space="preserve"> The post-</w:t>
      </w:r>
      <w:r>
        <w:rPr>
          <w:i/>
          <w:iCs/>
          <w:sz w:val="20"/>
          <w:szCs w:val="20"/>
        </w:rPr>
        <w:t>Chevron</w:t>
      </w:r>
      <w:r>
        <w:rPr>
          <w:sz w:val="20"/>
          <w:szCs w:val="20"/>
        </w:rPr>
        <w:t xml:space="preserve"> framework therefore does not eliminate administrative policymaking. It places greater emphasis on identifying the source and limits of the discretion an agency claims.</w:t>
      </w:r>
    </w:p>
    <w:p w14:paraId="00000045" w14:textId="77777777" w:rsidR="003074D1" w:rsidRDefault="00000000">
      <w:pPr>
        <w:spacing w:before="240" w:after="240" w:line="360" w:lineRule="auto"/>
        <w:ind w:firstLine="720"/>
        <w:jc w:val="both"/>
        <w:rPr>
          <w:sz w:val="20"/>
          <w:szCs w:val="20"/>
        </w:rPr>
      </w:pPr>
      <w:r>
        <w:rPr>
          <w:sz w:val="20"/>
          <w:szCs w:val="20"/>
        </w:rPr>
        <w:lastRenderedPageBreak/>
        <w:t>Recent EPA actions illustrate the continuing importance of these statutory boundaries. In 2024, the Agency promulgated new greenhouse-gas standards for fossil-fuel-fired power plants under § 111 using approaches different from the generation shifting rejected in West Virginia.</w:t>
      </w:r>
      <w:r>
        <w:rPr>
          <w:sz w:val="20"/>
          <w:szCs w:val="20"/>
          <w:vertAlign w:val="superscript"/>
        </w:rPr>
        <w:footnoteReference w:id="62"/>
      </w:r>
      <w:r>
        <w:rPr>
          <w:sz w:val="20"/>
          <w:szCs w:val="20"/>
        </w:rPr>
        <w:t xml:space="preserve"> The EPA proposed repealing those standards in 2025.</w:t>
      </w:r>
      <w:r>
        <w:rPr>
          <w:sz w:val="20"/>
          <w:szCs w:val="20"/>
          <w:vertAlign w:val="superscript"/>
        </w:rPr>
        <w:footnoteReference w:id="63"/>
      </w:r>
      <w:r>
        <w:rPr>
          <w:sz w:val="20"/>
          <w:szCs w:val="20"/>
        </w:rPr>
        <w:t xml:space="preserve"> Separately, the Agency rescinded the 2009 Endangerment Finding and associated motor-vehicle greenhouse-gas standards in 2026.</w:t>
      </w:r>
      <w:r>
        <w:rPr>
          <w:sz w:val="20"/>
          <w:szCs w:val="20"/>
          <w:vertAlign w:val="superscript"/>
        </w:rPr>
        <w:footnoteReference w:id="64"/>
      </w:r>
      <w:r>
        <w:rPr>
          <w:sz w:val="20"/>
          <w:szCs w:val="20"/>
        </w:rPr>
        <w:t xml:space="preserve"> These actions do not establish that the Major Questions Doctrine caused the changes in regulatory policy. They instead demonstrate that the scope of longstanding Clean Air Act delegations remains contested as the EPA continues to address climate regulation after West Virginia and Loper Bright.</w:t>
      </w:r>
    </w:p>
    <w:p w14:paraId="00000046" w14:textId="77777777" w:rsidR="003074D1" w:rsidRDefault="00000000">
      <w:pPr>
        <w:pStyle w:val="Heading2"/>
        <w:keepNext w:val="0"/>
        <w:keepLines w:val="0"/>
        <w:spacing w:line="360" w:lineRule="auto"/>
      </w:pPr>
      <w:bookmarkStart w:id="14" w:name="_azxu5ayhnglh" w:colFirst="0" w:colLast="0"/>
      <w:bookmarkEnd w:id="14"/>
      <w:r>
        <w:t>C. Evaluating the Major Questions Doctrine</w:t>
      </w:r>
    </w:p>
    <w:p w14:paraId="00000047" w14:textId="77777777" w:rsidR="003074D1" w:rsidRDefault="00000000">
      <w:pPr>
        <w:spacing w:before="240" w:after="240" w:line="360" w:lineRule="auto"/>
        <w:ind w:firstLine="720"/>
        <w:jc w:val="both"/>
        <w:rPr>
          <w:sz w:val="20"/>
          <w:szCs w:val="20"/>
        </w:rPr>
      </w:pPr>
      <w:r>
        <w:rPr>
          <w:sz w:val="20"/>
          <w:szCs w:val="20"/>
        </w:rPr>
        <w:t>The Major Questions Doctrine responds to a genuine separation-of-powers concern. Administrative agencies possess only the authority Congress confers, and exercises of regulatory power carrying extraordinary national consequences should be traceable to legislative authorization.</w:t>
      </w:r>
      <w:r>
        <w:rPr>
          <w:sz w:val="20"/>
          <w:szCs w:val="20"/>
          <w:vertAlign w:val="superscript"/>
        </w:rPr>
        <w:footnoteReference w:id="65"/>
      </w:r>
      <w:r>
        <w:rPr>
          <w:sz w:val="20"/>
          <w:szCs w:val="20"/>
        </w:rPr>
        <w:t xml:space="preserve"> Requiring clear congressional authorization can therefore reinforce legislative accountability by preventing agencies from deriving consequential regulatory powers from statutory provisions that do not adequately establish them.</w:t>
      </w:r>
      <w:r>
        <w:rPr>
          <w:sz w:val="20"/>
          <w:szCs w:val="20"/>
          <w:vertAlign w:val="superscript"/>
        </w:rPr>
        <w:footnoteReference w:id="66"/>
      </w:r>
      <w:r>
        <w:rPr>
          <w:sz w:val="20"/>
          <w:szCs w:val="20"/>
        </w:rPr>
        <w:t xml:space="preserve">  </w:t>
      </w:r>
      <w:r>
        <w:rPr>
          <w:i/>
          <w:iCs/>
          <w:sz w:val="20"/>
          <w:szCs w:val="20"/>
        </w:rPr>
        <w:t>Biden</w:t>
      </w:r>
      <w:r>
        <w:rPr>
          <w:sz w:val="20"/>
          <w:szCs w:val="20"/>
        </w:rPr>
        <w:t xml:space="preserve"> demonstrates that this concern extends beyond environmental regulation to the administrative state more broadly.</w:t>
      </w:r>
      <w:r>
        <w:rPr>
          <w:sz w:val="20"/>
          <w:szCs w:val="20"/>
          <w:vertAlign w:val="superscript"/>
        </w:rPr>
        <w:footnoteReference w:id="67"/>
      </w:r>
      <w:r>
        <w:rPr>
          <w:sz w:val="20"/>
          <w:szCs w:val="20"/>
        </w:rPr>
        <w:t xml:space="preserve"> </w:t>
      </w:r>
    </w:p>
    <w:p w14:paraId="00000048" w14:textId="77777777" w:rsidR="003074D1" w:rsidRDefault="00000000">
      <w:pPr>
        <w:spacing w:before="240" w:after="240" w:line="360" w:lineRule="auto"/>
        <w:ind w:firstLine="720"/>
        <w:jc w:val="both"/>
        <w:rPr>
          <w:sz w:val="20"/>
          <w:szCs w:val="20"/>
        </w:rPr>
      </w:pPr>
      <w:r>
        <w:rPr>
          <w:sz w:val="20"/>
          <w:szCs w:val="20"/>
        </w:rPr>
        <w:t xml:space="preserve">The difficulty lies in determining when that heightened requirement applies. The Court has considered economic significance, political importance, regulatory novelty, agency history, and the breadth of the asserted authority, but it has not reduced those considerations to a determinate test for identifying a "major question." </w:t>
      </w:r>
      <w:r>
        <w:rPr>
          <w:sz w:val="20"/>
          <w:szCs w:val="20"/>
          <w:vertAlign w:val="superscript"/>
        </w:rPr>
        <w:footnoteReference w:id="68"/>
      </w:r>
      <w:r>
        <w:rPr>
          <w:sz w:val="20"/>
          <w:szCs w:val="20"/>
        </w:rPr>
        <w:t xml:space="preserve"> Courts therefore exercise substantial judgment both in deciding whether ordinary statutory interpretation is insufficient and in determining what degree of congressional clarity is necessary once the doctrine applies.</w:t>
      </w:r>
      <w:r>
        <w:rPr>
          <w:sz w:val="20"/>
          <w:szCs w:val="20"/>
          <w:vertAlign w:val="superscript"/>
        </w:rPr>
        <w:footnoteReference w:id="69"/>
      </w:r>
      <w:r>
        <w:rPr>
          <w:i/>
          <w:iCs/>
          <w:sz w:val="20"/>
          <w:szCs w:val="20"/>
        </w:rPr>
        <w:t xml:space="preserve"> </w:t>
      </w:r>
      <w:r>
        <w:rPr>
          <w:sz w:val="20"/>
          <w:szCs w:val="20"/>
        </w:rPr>
        <w:t>That discretion has particular consequences for statutes designed to operate across changing circumstances. Congress frequently legislates through general standards because regulatory problems, available technologies, and scientific understanding evolve after enactment.</w:t>
      </w:r>
      <w:r>
        <w:rPr>
          <w:sz w:val="20"/>
          <w:szCs w:val="20"/>
          <w:vertAlign w:val="superscript"/>
        </w:rPr>
        <w:footnoteReference w:id="70"/>
      </w:r>
      <w:r>
        <w:rPr>
          <w:sz w:val="20"/>
          <w:szCs w:val="20"/>
        </w:rPr>
        <w:t xml:space="preserve">  Environmental law illustrates the problem clearly. </w:t>
      </w:r>
      <w:r>
        <w:rPr>
          <w:i/>
          <w:iCs/>
          <w:sz w:val="20"/>
          <w:szCs w:val="20"/>
        </w:rPr>
        <w:t>Massachusetts</w:t>
      </w:r>
      <w:r>
        <w:rPr>
          <w:sz w:val="20"/>
          <w:szCs w:val="20"/>
        </w:rPr>
        <w:t xml:space="preserve"> treated the breadth of the Clean Air Act's definition of "air pollutant" as capable of encompassing an environmental threat Congress had not expressly identified in the relevant provision.</w:t>
      </w:r>
      <w:r>
        <w:rPr>
          <w:sz w:val="20"/>
          <w:szCs w:val="20"/>
          <w:vertAlign w:val="superscript"/>
        </w:rPr>
        <w:footnoteReference w:id="71"/>
      </w:r>
      <w:r>
        <w:rPr>
          <w:sz w:val="20"/>
          <w:szCs w:val="20"/>
        </w:rPr>
        <w:t xml:space="preserve"> Under the Major Questions Doctrine, however, the increasing economic or political significance of a regulatory problem may itself trigger a demand for more specific statutory authorization. </w:t>
      </w:r>
      <w:r>
        <w:rPr>
          <w:sz w:val="20"/>
          <w:szCs w:val="20"/>
        </w:rPr>
        <w:lastRenderedPageBreak/>
        <w:t>Legislative generality can therefore provide flexibility in ordinary cases while becoming insufficient as the consequences of agency action grow more substantial.</w:t>
      </w:r>
    </w:p>
    <w:p w14:paraId="00000049" w14:textId="77777777" w:rsidR="003074D1" w:rsidRDefault="00000000">
      <w:pPr>
        <w:spacing w:before="240" w:after="240" w:line="360" w:lineRule="auto"/>
        <w:ind w:firstLine="720"/>
        <w:jc w:val="both"/>
        <w:rPr>
          <w:sz w:val="20"/>
          <w:szCs w:val="20"/>
        </w:rPr>
      </w:pPr>
      <w:r>
        <w:rPr>
          <w:sz w:val="20"/>
          <w:szCs w:val="20"/>
        </w:rPr>
        <w:t xml:space="preserve">That tension does not require choosing between unlimited agency discretion and exclusive judicial control. </w:t>
      </w:r>
      <w:r>
        <w:rPr>
          <w:i/>
          <w:iCs/>
          <w:sz w:val="20"/>
          <w:szCs w:val="20"/>
        </w:rPr>
        <w:t>Loper Bright</w:t>
      </w:r>
      <w:r>
        <w:rPr>
          <w:sz w:val="20"/>
          <w:szCs w:val="20"/>
        </w:rPr>
        <w:t xml:space="preserve"> recognizes that Congress may lawfully assign discretionary judgments to agencies, while </w:t>
      </w:r>
      <w:r>
        <w:rPr>
          <w:i/>
          <w:iCs/>
          <w:sz w:val="20"/>
          <w:szCs w:val="20"/>
        </w:rPr>
        <w:t>Seven County</w:t>
      </w:r>
      <w:r>
        <w:rPr>
          <w:sz w:val="20"/>
          <w:szCs w:val="20"/>
        </w:rPr>
        <w:t xml:space="preserve"> demonstrates that courts may continue to respect administrative expertise within those assignments.</w:t>
      </w:r>
      <w:r>
        <w:rPr>
          <w:sz w:val="20"/>
          <w:szCs w:val="20"/>
          <w:vertAlign w:val="superscript"/>
        </w:rPr>
        <w:footnoteReference w:id="72"/>
      </w:r>
      <w:r>
        <w:rPr>
          <w:sz w:val="20"/>
          <w:szCs w:val="20"/>
        </w:rPr>
        <w:t xml:space="preserve"> The more precise institutional question is whether courts can distinguish consistently between interpreting the boundaries of delegated authority and displacing choices Congress intended an agency to make within those boundaries. The Major Questions Doctrine is strongest when it functions as a disciplined means of requiring agencies to connect consequential exercises of regulatory power to authority actually conferred by Congress. Its legitimacy becomes more difficult when the doctrine's own indeterminacy allows the characterization of a question as "major" to determine the level of statutory specificity necessary to sustain agency action. A doctrine intended to preserve congressional primacy may itself enlarge judicial discretion unless courts develop sufficiently consistent principles governing both its triggering conditions and its clear-authorization requirement.</w:t>
      </w:r>
      <w:r>
        <w:rPr>
          <w:sz w:val="20"/>
          <w:szCs w:val="20"/>
          <w:vertAlign w:val="superscript"/>
        </w:rPr>
        <w:footnoteReference w:id="73"/>
      </w:r>
      <w:r>
        <w:rPr>
          <w:sz w:val="20"/>
          <w:szCs w:val="20"/>
        </w:rPr>
        <w:t xml:space="preserve"> </w:t>
      </w:r>
    </w:p>
    <w:p w14:paraId="0000004A" w14:textId="77777777" w:rsidR="003074D1" w:rsidRDefault="00000000">
      <w:pPr>
        <w:pStyle w:val="Heading1"/>
        <w:spacing w:before="240" w:after="240" w:line="360" w:lineRule="auto"/>
      </w:pPr>
      <w:bookmarkStart w:id="15" w:name="_v4my4rpfayy1" w:colFirst="0" w:colLast="0"/>
      <w:bookmarkEnd w:id="15"/>
      <w:r>
        <w:t>V. Conclusion</w:t>
      </w:r>
    </w:p>
    <w:p w14:paraId="0000004B" w14:textId="77777777" w:rsidR="003074D1" w:rsidRDefault="00000000">
      <w:pPr>
        <w:spacing w:before="240" w:after="240" w:line="360" w:lineRule="auto"/>
        <w:ind w:firstLine="720"/>
        <w:jc w:val="both"/>
        <w:rPr>
          <w:sz w:val="20"/>
          <w:szCs w:val="20"/>
        </w:rPr>
      </w:pPr>
      <w:r>
        <w:rPr>
          <w:i/>
          <w:iCs/>
          <w:sz w:val="20"/>
          <w:szCs w:val="20"/>
        </w:rPr>
        <w:t>West Virginia v. EPA</w:t>
      </w:r>
      <w:r>
        <w:rPr>
          <w:sz w:val="20"/>
          <w:szCs w:val="20"/>
        </w:rPr>
        <w:t xml:space="preserve"> did not alter Congress's constitutional authority to delegate substantial policymaking discretion to administrative agencies. Its significance lies instead in how courts determine whether Congress has made such a delegation. Under the Major Questions Doctrine, broadly worded statutory language that may support administrative flexibility in ordinary circumstances is insufficient, without clear congressional authorization, when an agency asserts authority of extraordinary economic or political significance.</w:t>
      </w:r>
      <w:r>
        <w:rPr>
          <w:sz w:val="20"/>
          <w:szCs w:val="20"/>
          <w:vertAlign w:val="superscript"/>
        </w:rPr>
        <w:footnoteReference w:id="74"/>
      </w:r>
      <w:r>
        <w:rPr>
          <w:sz w:val="20"/>
          <w:szCs w:val="20"/>
        </w:rPr>
        <w:t xml:space="preserve"> Subsequent decisions confirm that this development extends beyond environmental regulation. </w:t>
      </w:r>
      <w:r>
        <w:rPr>
          <w:i/>
          <w:iCs/>
          <w:sz w:val="20"/>
          <w:szCs w:val="20"/>
        </w:rPr>
        <w:t>Biden v. Nebraska</w:t>
      </w:r>
      <w:r>
        <w:rPr>
          <w:sz w:val="20"/>
          <w:szCs w:val="20"/>
        </w:rPr>
        <w:t xml:space="preserve"> applied the clear-authorization principle outside the environmental context, while </w:t>
      </w:r>
      <w:r>
        <w:rPr>
          <w:i/>
          <w:iCs/>
          <w:sz w:val="20"/>
          <w:szCs w:val="20"/>
        </w:rPr>
        <w:t>Loper Bright Enterprises v. Raimondo</w:t>
      </w:r>
      <w:r>
        <w:rPr>
          <w:sz w:val="20"/>
          <w:szCs w:val="20"/>
        </w:rPr>
        <w:t xml:space="preserve"> independently reinforced the judiciary's responsibility for determining statutory meaning.</w:t>
      </w:r>
      <w:r>
        <w:rPr>
          <w:sz w:val="20"/>
          <w:szCs w:val="20"/>
          <w:vertAlign w:val="superscript"/>
        </w:rPr>
        <w:footnoteReference w:id="75"/>
      </w:r>
      <w:r>
        <w:rPr>
          <w:sz w:val="20"/>
          <w:szCs w:val="20"/>
        </w:rPr>
        <w:t xml:space="preserve"> </w:t>
      </w:r>
      <w:r>
        <w:rPr>
          <w:i/>
          <w:iCs/>
          <w:sz w:val="20"/>
          <w:szCs w:val="20"/>
        </w:rPr>
        <w:t>Seven County Infrastructure Coalition v. Eagle County</w:t>
      </w:r>
      <w:r>
        <w:rPr>
          <w:sz w:val="20"/>
          <w:szCs w:val="20"/>
        </w:rPr>
        <w:t>, however, confirms that administrative discretion remains significant when Congress has committed a matter to agency judgment.</w:t>
      </w:r>
      <w:r>
        <w:rPr>
          <w:sz w:val="20"/>
          <w:szCs w:val="20"/>
          <w:vertAlign w:val="superscript"/>
        </w:rPr>
        <w:footnoteReference w:id="76"/>
      </w:r>
      <w:r>
        <w:rPr>
          <w:sz w:val="20"/>
          <w:szCs w:val="20"/>
        </w:rPr>
        <w:t xml:space="preserve"> The emerging framework therefore distinguishes judicial responsibility for identifying the existence and boundaries of delegated authority from administrative responsibility for exercising discretion within those boundaries.</w:t>
      </w:r>
    </w:p>
    <w:p w14:paraId="0000004C" w14:textId="77777777" w:rsidR="003074D1" w:rsidRDefault="00000000">
      <w:pPr>
        <w:spacing w:before="240" w:after="240" w:line="360" w:lineRule="auto"/>
        <w:ind w:firstLine="720"/>
        <w:jc w:val="both"/>
      </w:pPr>
      <w:r>
        <w:rPr>
          <w:sz w:val="20"/>
          <w:szCs w:val="20"/>
        </w:rPr>
        <w:t xml:space="preserve">Environmental regulation exposes the difficulty of maintaining that distinction. Statutes such as the Clean Air Act employ general standards capable of application as scientific understanding, technology, and environmental problems evolve. Requiring consequential exercises of administrative power to rest on congressional authorization reinforces legislative accountability, but the Major Questions Doctrine leaves courts substantial discretion to </w:t>
      </w:r>
      <w:r>
        <w:rPr>
          <w:sz w:val="20"/>
          <w:szCs w:val="20"/>
        </w:rPr>
        <w:lastRenderedPageBreak/>
        <w:t>determine when a question becomes "major" and what degree of statutory clarity is sufficient. A doctrine designed to preserve congressional primacy may therefore enlarge the judiciary's role in determining the practical reach of federal legislation. The enduring significance of West Virginia lies beyond the Clean Power Plan and environmental law. Congress retains the power to delegate, and agencies retain expertise and policymaking discretion within lawful delegations. The increasingly consequential question is how courts identify the existence and boundaries of those delegations when Congress legislates through general statutory terms. The Major Questions Doctrine places that question at the center of modern administrative law.</w:t>
      </w:r>
    </w:p>
    <w:sectPr w:rsidR="003074D1">
      <w:footerReference w:type="first" r:id="rId9"/>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BB18D9" w14:textId="77777777" w:rsidR="00F9769D" w:rsidRDefault="00F9769D">
      <w:pPr>
        <w:spacing w:line="240" w:lineRule="auto"/>
      </w:pPr>
      <w:r>
        <w:separator/>
      </w:r>
    </w:p>
  </w:endnote>
  <w:endnote w:type="continuationSeparator" w:id="0">
    <w:p w14:paraId="70A4B62B" w14:textId="77777777" w:rsidR="00F9769D" w:rsidRDefault="00F976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A471A00-3C44-4140-8A15-B907899D0B0A}"/>
    <w:embedBold r:id="rId2" w:fontKey="{7B5C940E-C3CC-1346-A00A-11DC94C60A96}"/>
    <w:embedItalic r:id="rId3" w:fontKey="{FD3A924E-860D-164F-873B-E0B372B00FCC}"/>
    <w:embedBoldItalic r:id="rId4" w:fontKey="{D5CFC0BF-D036-574D-91ED-73B2E38505D6}"/>
  </w:font>
  <w:font w:name="Calibri">
    <w:panose1 w:val="020F0502020204030204"/>
    <w:charset w:val="00"/>
    <w:family w:val="swiss"/>
    <w:pitch w:val="variable"/>
    <w:sig w:usb0="E4002EFF" w:usb1="C200247B" w:usb2="00000009" w:usb3="00000000" w:csb0="000001FF" w:csb1="00000000"/>
    <w:embedRegular r:id="rId5" w:fontKey="{189DF66C-56D4-9C4E-8B91-94D9E3065F37}"/>
  </w:font>
  <w:font w:name="Cambria">
    <w:panose1 w:val="02040503050406030204"/>
    <w:charset w:val="00"/>
    <w:family w:val="roman"/>
    <w:pitch w:val="variable"/>
    <w:sig w:usb0="E00006FF" w:usb1="420024FF" w:usb2="02000000" w:usb3="00000000" w:csb0="0000019F" w:csb1="00000000"/>
    <w:embedRegular r:id="rId6" w:fontKey="{F831F74B-FC2C-5543-B868-38CFDF3CD41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99" w14:textId="7BBC2E7F" w:rsidR="003074D1" w:rsidRDefault="00000000">
    <w:pPr>
      <w:jc w:val="right"/>
    </w:pPr>
    <w:r>
      <w:fldChar w:fldCharType="begin"/>
    </w:r>
    <w:r>
      <w:instrText>PAGE</w:instrText>
    </w:r>
    <w:r>
      <w:fldChar w:fldCharType="separate"/>
    </w:r>
    <w:r w:rsidR="00342126">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9A" w14:textId="77777777" w:rsidR="003074D1" w:rsidRDefault="00F9769D">
    <w:r>
      <w:rPr>
        <w:noProof/>
      </w:rPr>
    </w:r>
    <w:r>
      <w:pict w14:anchorId="7A0D14CF">
        <v:rect id="Horizontal Line 1" o:spid="_x0000_s1025"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000009B" w14:textId="77777777" w:rsidR="003074D1" w:rsidRDefault="00000000">
    <w:pPr>
      <w:jc w:val="center"/>
    </w:pPr>
    <w:r>
      <w:t xml:space="preserve">SierraLynn Anderson, J.D. Candidate, University of Tulsa College of Law, Class of 2027. </w:t>
    </w:r>
  </w:p>
  <w:p w14:paraId="0000009C" w14:textId="77777777" w:rsidR="003074D1" w:rsidRDefault="00000000">
    <w:pPr>
      <w:jc w:val="center"/>
    </w:pPr>
    <w:r>
      <w:t>Independent research project written under the guidance and supervision of Professors Paolo Davide Farah and Alex Gavern.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9E" w14:textId="4859CE6F" w:rsidR="003074D1" w:rsidRDefault="00000000">
    <w:pPr>
      <w:jc w:val="right"/>
    </w:pPr>
    <w:r>
      <w:fldChar w:fldCharType="begin"/>
    </w:r>
    <w:r>
      <w:instrText>PAGE</w:instrText>
    </w:r>
    <w:r>
      <w:fldChar w:fldCharType="separate"/>
    </w:r>
    <w:r w:rsidR="0034212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ACD726" w14:textId="77777777" w:rsidR="00F9769D" w:rsidRDefault="00F9769D">
      <w:pPr>
        <w:spacing w:line="240" w:lineRule="auto"/>
      </w:pPr>
      <w:r>
        <w:separator/>
      </w:r>
    </w:p>
  </w:footnote>
  <w:footnote w:type="continuationSeparator" w:id="0">
    <w:p w14:paraId="1613D3A9" w14:textId="77777777" w:rsidR="00F9769D" w:rsidRDefault="00F9769D">
      <w:pPr>
        <w:spacing w:line="240" w:lineRule="auto"/>
      </w:pPr>
      <w:r>
        <w:continuationSeparator/>
      </w:r>
    </w:p>
  </w:footnote>
  <w:footnote w:id="1">
    <w:p w14:paraId="0000004D" w14:textId="77777777" w:rsidR="003074D1" w:rsidRDefault="00000000">
      <w:pPr>
        <w:spacing w:line="240" w:lineRule="auto"/>
      </w:pPr>
      <w:r>
        <w:rPr>
          <w:vertAlign w:val="superscript"/>
        </w:rPr>
        <w:footnoteRef/>
      </w:r>
      <w:r>
        <w:t xml:space="preserve"> </w:t>
      </w:r>
      <w:r>
        <w:rPr>
          <w:i/>
          <w:iCs/>
        </w:rPr>
        <w:t>See Mistretta v. United States</w:t>
      </w:r>
      <w:r>
        <w:t xml:space="preserve">, 488 U.S. 361, 372–73 (1989); </w:t>
      </w:r>
      <w:r>
        <w:rPr>
          <w:i/>
          <w:iCs/>
        </w:rPr>
        <w:t>J.W. Hampton, Jr. &amp; Co. v. United States</w:t>
      </w:r>
      <w:r>
        <w:t>, 276 U.S. 394, 409 (1928).</w:t>
      </w:r>
    </w:p>
  </w:footnote>
  <w:footnote w:id="2">
    <w:p w14:paraId="0000004E" w14:textId="77777777" w:rsidR="003074D1" w:rsidRDefault="00000000">
      <w:pPr>
        <w:spacing w:line="240" w:lineRule="auto"/>
      </w:pPr>
      <w:r>
        <w:rPr>
          <w:vertAlign w:val="superscript"/>
        </w:rPr>
        <w:footnoteRef/>
      </w:r>
      <w:r>
        <w:t xml:space="preserve"> </w:t>
      </w:r>
      <w:r>
        <w:rPr>
          <w:i/>
          <w:iCs/>
        </w:rPr>
        <w:t>See</w:t>
      </w:r>
      <w:r>
        <w:t xml:space="preserve"> 42 U.S.C. §§ 7401(b), 7411(a), (d).</w:t>
      </w:r>
    </w:p>
  </w:footnote>
  <w:footnote w:id="3">
    <w:p w14:paraId="0000004F" w14:textId="77777777" w:rsidR="003074D1" w:rsidRDefault="00000000">
      <w:pPr>
        <w:spacing w:line="240" w:lineRule="auto"/>
      </w:pPr>
      <w:r>
        <w:rPr>
          <w:vertAlign w:val="superscript"/>
        </w:rPr>
        <w:footnoteRef/>
      </w:r>
      <w:r>
        <w:t xml:space="preserve"> </w:t>
      </w:r>
      <w:r>
        <w:rPr>
          <w:i/>
          <w:iCs/>
        </w:rPr>
        <w:t>Id.</w:t>
      </w:r>
      <w:r>
        <w:t xml:space="preserve"> § 7411(a)(1).</w:t>
      </w:r>
    </w:p>
  </w:footnote>
  <w:footnote w:id="4">
    <w:p w14:paraId="00000050" w14:textId="77777777" w:rsidR="003074D1" w:rsidRDefault="00000000">
      <w:pPr>
        <w:spacing w:line="240" w:lineRule="auto"/>
      </w:pPr>
      <w:r>
        <w:rPr>
          <w:vertAlign w:val="superscript"/>
        </w:rPr>
        <w:footnoteRef/>
      </w:r>
      <w:r>
        <w:t xml:space="preserve"> </w:t>
      </w:r>
      <w:r>
        <w:rPr>
          <w:i/>
          <w:iCs/>
        </w:rPr>
        <w:t>See Massachusetts v. EPA</w:t>
      </w:r>
      <w:r>
        <w:t>, 549 U.S. 497, 528–35 (2007).</w:t>
      </w:r>
    </w:p>
  </w:footnote>
  <w:footnote w:id="5">
    <w:p w14:paraId="00000051" w14:textId="77777777" w:rsidR="003074D1" w:rsidRDefault="00000000">
      <w:pPr>
        <w:spacing w:line="240" w:lineRule="auto"/>
      </w:pPr>
      <w:r>
        <w:rPr>
          <w:vertAlign w:val="superscript"/>
        </w:rPr>
        <w:footnoteRef/>
      </w:r>
      <w:r>
        <w:t xml:space="preserve"> </w:t>
      </w:r>
      <w:r>
        <w:rPr>
          <w:i/>
          <w:iCs/>
        </w:rPr>
        <w:t>West Virginia v. EPA</w:t>
      </w:r>
      <w:r>
        <w:t>, 597 U.S. 697, 721–23 (2022).</w:t>
      </w:r>
    </w:p>
  </w:footnote>
  <w:footnote w:id="6">
    <w:p w14:paraId="00000052" w14:textId="77777777" w:rsidR="003074D1" w:rsidRDefault="00000000">
      <w:pPr>
        <w:spacing w:line="240" w:lineRule="auto"/>
      </w:pPr>
      <w:r>
        <w:rPr>
          <w:vertAlign w:val="superscript"/>
        </w:rPr>
        <w:footnoteRef/>
      </w:r>
      <w:r>
        <w:t xml:space="preserve"> </w:t>
      </w:r>
      <w:r>
        <w:rPr>
          <w:i/>
          <w:iCs/>
        </w:rPr>
        <w:t>Biden v. Nebraska</w:t>
      </w:r>
      <w:r>
        <w:t>, 600 U.S. 477, 483–89, 500–07 (2023).</w:t>
      </w:r>
    </w:p>
  </w:footnote>
  <w:footnote w:id="7">
    <w:p w14:paraId="00000053" w14:textId="77777777" w:rsidR="003074D1" w:rsidRDefault="00000000">
      <w:pPr>
        <w:spacing w:line="240" w:lineRule="auto"/>
      </w:pPr>
      <w:r>
        <w:rPr>
          <w:vertAlign w:val="superscript"/>
        </w:rPr>
        <w:footnoteRef/>
      </w:r>
      <w:r>
        <w:t xml:space="preserve"> </w:t>
      </w:r>
      <w:r>
        <w:rPr>
          <w:i/>
          <w:iCs/>
        </w:rPr>
        <w:t>Loper Bright Enters. v. Raimondo</w:t>
      </w:r>
      <w:r>
        <w:t>, 603 U.S. 369, 412 (2024).</w:t>
      </w:r>
    </w:p>
  </w:footnote>
  <w:footnote w:id="8">
    <w:p w14:paraId="00000054" w14:textId="77777777" w:rsidR="003074D1" w:rsidRDefault="00000000">
      <w:pPr>
        <w:spacing w:line="240" w:lineRule="auto"/>
      </w:pPr>
      <w:r>
        <w:rPr>
          <w:vertAlign w:val="superscript"/>
        </w:rPr>
        <w:footnoteRef/>
      </w:r>
      <w:r>
        <w:t xml:space="preserve"> </w:t>
      </w:r>
      <w:r>
        <w:rPr>
          <w:i/>
          <w:iCs/>
        </w:rPr>
        <w:t>See Massachusetts</w:t>
      </w:r>
      <w:r>
        <w:t xml:space="preserve">, 549 U.S. at 528–35; </w:t>
      </w:r>
      <w:r>
        <w:rPr>
          <w:i/>
          <w:iCs/>
        </w:rPr>
        <w:t>Util. Air Regul. Grp. v. EPA</w:t>
      </w:r>
      <w:r>
        <w:t>, 573 U.S. 302, 320–28 (2014).</w:t>
      </w:r>
    </w:p>
  </w:footnote>
  <w:footnote w:id="9">
    <w:p w14:paraId="00000055" w14:textId="77777777" w:rsidR="003074D1" w:rsidRDefault="00000000">
      <w:pPr>
        <w:spacing w:line="240" w:lineRule="auto"/>
      </w:pPr>
      <w:r>
        <w:rPr>
          <w:vertAlign w:val="superscript"/>
        </w:rPr>
        <w:footnoteRef/>
      </w:r>
      <w:r>
        <w:t xml:space="preserve"> </w:t>
      </w:r>
      <w:r>
        <w:rPr>
          <w:i/>
          <w:iCs/>
        </w:rPr>
        <w:t>West Virginia</w:t>
      </w:r>
      <w:r>
        <w:t>, 597 U.S. at 721–23.</w:t>
      </w:r>
    </w:p>
  </w:footnote>
  <w:footnote w:id="10">
    <w:p w14:paraId="00000056" w14:textId="77777777" w:rsidR="003074D1" w:rsidRDefault="00000000">
      <w:pPr>
        <w:spacing w:line="240" w:lineRule="auto"/>
      </w:pPr>
      <w:r>
        <w:rPr>
          <w:vertAlign w:val="superscript"/>
        </w:rPr>
        <w:footnoteRef/>
      </w:r>
      <w:r>
        <w:t xml:space="preserve"> </w:t>
      </w:r>
      <w:r>
        <w:rPr>
          <w:i/>
          <w:iCs/>
        </w:rPr>
        <w:t>See West Virginia</w:t>
      </w:r>
      <w:r>
        <w:t>, 597 U.S. at 735.</w:t>
      </w:r>
    </w:p>
  </w:footnote>
  <w:footnote w:id="11">
    <w:p w14:paraId="00000057" w14:textId="77777777" w:rsidR="003074D1" w:rsidRDefault="00000000">
      <w:pPr>
        <w:spacing w:line="240" w:lineRule="auto"/>
      </w:pPr>
      <w:r>
        <w:rPr>
          <w:vertAlign w:val="superscript"/>
        </w:rPr>
        <w:footnoteRef/>
      </w:r>
      <w:r>
        <w:t xml:space="preserve"> </w:t>
      </w:r>
      <w:r>
        <w:rPr>
          <w:i/>
          <w:iCs/>
        </w:rPr>
        <w:t>See Mistretta</w:t>
      </w:r>
      <w:r>
        <w:t>, 488 U.S. at 372–73.</w:t>
      </w:r>
    </w:p>
  </w:footnote>
  <w:footnote w:id="12">
    <w:p w14:paraId="00000058" w14:textId="77777777" w:rsidR="003074D1" w:rsidRDefault="00000000">
      <w:pPr>
        <w:spacing w:line="240" w:lineRule="auto"/>
      </w:pPr>
      <w:r>
        <w:rPr>
          <w:vertAlign w:val="superscript"/>
        </w:rPr>
        <w:footnoteRef/>
      </w:r>
      <w:r>
        <w:t xml:space="preserve"> 42 U.S.C. § 7411(a)(1).</w:t>
      </w:r>
    </w:p>
  </w:footnote>
  <w:footnote w:id="13">
    <w:p w14:paraId="00000059" w14:textId="77777777" w:rsidR="003074D1" w:rsidRDefault="00000000">
      <w:pPr>
        <w:spacing w:line="240" w:lineRule="auto"/>
      </w:pPr>
      <w:r>
        <w:rPr>
          <w:vertAlign w:val="superscript"/>
        </w:rPr>
        <w:footnoteRef/>
      </w:r>
      <w:r>
        <w:t xml:space="preserve"> </w:t>
      </w:r>
      <w:r>
        <w:rPr>
          <w:i/>
          <w:iCs/>
        </w:rPr>
        <w:t>Id.</w:t>
      </w:r>
      <w:r>
        <w:t xml:space="preserve"> § 7411(d).</w:t>
      </w:r>
    </w:p>
  </w:footnote>
  <w:footnote w:id="14">
    <w:p w14:paraId="0000005A" w14:textId="77777777" w:rsidR="003074D1" w:rsidRDefault="00000000">
      <w:pPr>
        <w:spacing w:line="240" w:lineRule="auto"/>
      </w:pPr>
      <w:r>
        <w:rPr>
          <w:vertAlign w:val="superscript"/>
        </w:rPr>
        <w:footnoteRef/>
      </w:r>
      <w:r>
        <w:t xml:space="preserve"> </w:t>
      </w:r>
      <w:r>
        <w:rPr>
          <w:i/>
          <w:iCs/>
        </w:rPr>
        <w:t>Id.</w:t>
      </w:r>
      <w:r>
        <w:t xml:space="preserve"> § 7411(a)(1).</w:t>
      </w:r>
    </w:p>
  </w:footnote>
  <w:footnote w:id="15">
    <w:p w14:paraId="0000005B" w14:textId="77777777" w:rsidR="003074D1" w:rsidRDefault="00000000">
      <w:pPr>
        <w:spacing w:line="240" w:lineRule="auto"/>
      </w:pPr>
      <w:r>
        <w:rPr>
          <w:vertAlign w:val="superscript"/>
        </w:rPr>
        <w:footnoteRef/>
      </w:r>
      <w:r>
        <w:t xml:space="preserve"> </w:t>
      </w:r>
      <w:r>
        <w:rPr>
          <w:i/>
          <w:iCs/>
        </w:rPr>
        <w:t>See Massachusetts</w:t>
      </w:r>
      <w:r>
        <w:t>, 549 U.S. at 529–32.</w:t>
      </w:r>
    </w:p>
  </w:footnote>
  <w:footnote w:id="16">
    <w:p w14:paraId="0000005C" w14:textId="77777777" w:rsidR="003074D1" w:rsidRDefault="00000000">
      <w:pPr>
        <w:spacing w:line="240" w:lineRule="auto"/>
      </w:pPr>
      <w:r>
        <w:rPr>
          <w:vertAlign w:val="superscript"/>
        </w:rPr>
        <w:footnoteRef/>
      </w:r>
      <w:r>
        <w:t xml:space="preserve"> </w:t>
      </w:r>
      <w:r>
        <w:rPr>
          <w:i/>
          <w:iCs/>
        </w:rPr>
        <w:t>Massachusetts</w:t>
      </w:r>
      <w:r>
        <w:t>, 549 U.S. at 528–32.</w:t>
      </w:r>
    </w:p>
  </w:footnote>
  <w:footnote w:id="17">
    <w:p w14:paraId="0000005D" w14:textId="77777777" w:rsidR="003074D1" w:rsidRDefault="00000000">
      <w:pPr>
        <w:spacing w:line="240" w:lineRule="auto"/>
      </w:pPr>
      <w:r>
        <w:rPr>
          <w:vertAlign w:val="superscript"/>
        </w:rPr>
        <w:footnoteRef/>
      </w:r>
      <w:r>
        <w:t xml:space="preserve"> </w:t>
      </w:r>
      <w:r>
        <w:rPr>
          <w:i/>
          <w:iCs/>
        </w:rPr>
        <w:t>Id.</w:t>
      </w:r>
      <w:r>
        <w:t xml:space="preserve"> at 532–35.</w:t>
      </w:r>
    </w:p>
  </w:footnote>
  <w:footnote w:id="18">
    <w:p w14:paraId="0000005E" w14:textId="77777777" w:rsidR="003074D1" w:rsidRDefault="00000000">
      <w:pPr>
        <w:spacing w:line="240" w:lineRule="auto"/>
      </w:pPr>
      <w:r>
        <w:rPr>
          <w:vertAlign w:val="superscript"/>
        </w:rPr>
        <w:footnoteRef/>
      </w:r>
      <w:r>
        <w:t xml:space="preserve"> </w:t>
      </w:r>
      <w:r>
        <w:rPr>
          <w:i/>
          <w:iCs/>
        </w:rPr>
        <w:t>Id.</w:t>
      </w:r>
      <w:r>
        <w:t xml:space="preserve"> at 528–29.</w:t>
      </w:r>
    </w:p>
  </w:footnote>
  <w:footnote w:id="19">
    <w:p w14:paraId="0000005F" w14:textId="77777777" w:rsidR="003074D1" w:rsidRDefault="00000000">
      <w:pPr>
        <w:spacing w:line="240" w:lineRule="auto"/>
      </w:pPr>
      <w:r>
        <w:rPr>
          <w:vertAlign w:val="superscript"/>
        </w:rPr>
        <w:footnoteRef/>
      </w:r>
      <w:r>
        <w:t xml:space="preserve"> </w:t>
      </w:r>
      <w:r>
        <w:rPr>
          <w:i/>
          <w:iCs/>
        </w:rPr>
        <w:t>Endangerment and Cause or Contribute Findings for Greenhouse Gases Under Section 202(a) of the Clean Air Act</w:t>
      </w:r>
      <w:r>
        <w:t>, 74 Fed. Reg. 66,496, 66,496–97 (Dec. 15, 2009).</w:t>
      </w:r>
    </w:p>
  </w:footnote>
  <w:footnote w:id="20">
    <w:p w14:paraId="00000060" w14:textId="77777777" w:rsidR="003074D1" w:rsidRDefault="00000000">
      <w:pPr>
        <w:spacing w:line="240" w:lineRule="auto"/>
      </w:pPr>
      <w:r>
        <w:rPr>
          <w:vertAlign w:val="superscript"/>
        </w:rPr>
        <w:footnoteRef/>
      </w:r>
      <w:r>
        <w:t xml:space="preserve"> </w:t>
      </w:r>
      <w:r>
        <w:rPr>
          <w:i/>
          <w:iCs/>
        </w:rPr>
        <w:t>Am. Elec. Power Co. v. Connecticut</w:t>
      </w:r>
      <w:r>
        <w:t>, 564 U.S. 410, 424–29 (2011).</w:t>
      </w:r>
    </w:p>
  </w:footnote>
  <w:footnote w:id="21">
    <w:p w14:paraId="00000061" w14:textId="77777777" w:rsidR="003074D1" w:rsidRDefault="00000000">
      <w:pPr>
        <w:spacing w:line="240" w:lineRule="auto"/>
      </w:pPr>
      <w:r>
        <w:rPr>
          <w:vertAlign w:val="superscript"/>
        </w:rPr>
        <w:footnoteRef/>
      </w:r>
      <w:r>
        <w:t xml:space="preserve"> </w:t>
      </w:r>
      <w:r>
        <w:rPr>
          <w:i/>
          <w:iCs/>
        </w:rPr>
        <w:t>Util. Air Regul. Grp.</w:t>
      </w:r>
      <w:r>
        <w:t>, 573 U.S. at 316–24.</w:t>
      </w:r>
    </w:p>
  </w:footnote>
  <w:footnote w:id="22">
    <w:p w14:paraId="00000062" w14:textId="77777777" w:rsidR="003074D1" w:rsidRDefault="00000000">
      <w:pPr>
        <w:spacing w:line="240" w:lineRule="auto"/>
      </w:pPr>
      <w:r>
        <w:rPr>
          <w:vertAlign w:val="superscript"/>
        </w:rPr>
        <w:footnoteRef/>
      </w:r>
      <w:r>
        <w:t xml:space="preserve"> </w:t>
      </w:r>
      <w:r>
        <w:rPr>
          <w:i/>
          <w:iCs/>
        </w:rPr>
        <w:t>Id.</w:t>
      </w:r>
      <w:r>
        <w:t xml:space="preserve"> at 322–28.</w:t>
      </w:r>
    </w:p>
  </w:footnote>
  <w:footnote w:id="23">
    <w:p w14:paraId="00000063" w14:textId="77777777" w:rsidR="003074D1" w:rsidRDefault="00000000">
      <w:pPr>
        <w:spacing w:line="240" w:lineRule="auto"/>
      </w:pPr>
      <w:r>
        <w:rPr>
          <w:vertAlign w:val="superscript"/>
        </w:rPr>
        <w:footnoteRef/>
      </w:r>
      <w:r>
        <w:t xml:space="preserve"> </w:t>
      </w:r>
      <w:r>
        <w:rPr>
          <w:i/>
          <w:iCs/>
        </w:rPr>
        <w:t>Id.</w:t>
      </w:r>
      <w:r>
        <w:t xml:space="preserve"> at 315–16; </w:t>
      </w:r>
      <w:r>
        <w:rPr>
          <w:i/>
          <w:iCs/>
        </w:rPr>
        <w:t>Massachusetts</w:t>
      </w:r>
      <w:r>
        <w:t>, 549 U.S. at 528–32.</w:t>
      </w:r>
    </w:p>
  </w:footnote>
  <w:footnote w:id="24">
    <w:p w14:paraId="00000064" w14:textId="77777777" w:rsidR="003074D1" w:rsidRDefault="00000000">
      <w:pPr>
        <w:spacing w:line="240" w:lineRule="auto"/>
      </w:pPr>
      <w:r>
        <w:rPr>
          <w:vertAlign w:val="superscript"/>
        </w:rPr>
        <w:footnoteRef/>
      </w:r>
      <w:r>
        <w:t xml:space="preserve"> </w:t>
      </w:r>
      <w:r>
        <w:rPr>
          <w:i/>
          <w:iCs/>
        </w:rPr>
        <w:t>See Carbon Pollution Emission Guidelines for Existing Stationary Sources: Electric Utility Generating Units</w:t>
      </w:r>
      <w:r>
        <w:t>, 80 Fed. Reg. 64,662, 64,667–70 (Oct. 23, 2015).</w:t>
      </w:r>
    </w:p>
  </w:footnote>
  <w:footnote w:id="25">
    <w:p w14:paraId="00000065" w14:textId="77777777" w:rsidR="003074D1" w:rsidRDefault="00000000">
      <w:pPr>
        <w:spacing w:line="240" w:lineRule="auto"/>
      </w:pPr>
      <w:r>
        <w:rPr>
          <w:vertAlign w:val="superscript"/>
        </w:rPr>
        <w:footnoteRef/>
      </w:r>
      <w:r>
        <w:t xml:space="preserve"> </w:t>
      </w:r>
      <w:r>
        <w:rPr>
          <w:i/>
          <w:iCs/>
        </w:rPr>
        <w:t>FDA v. Brown &amp; Williamson Tobacco Corp.</w:t>
      </w:r>
      <w:r>
        <w:t>, 529 U.S. 120, 125–26 (2000).</w:t>
      </w:r>
    </w:p>
  </w:footnote>
  <w:footnote w:id="26">
    <w:p w14:paraId="00000066" w14:textId="77777777" w:rsidR="003074D1" w:rsidRDefault="00000000">
      <w:pPr>
        <w:spacing w:line="240" w:lineRule="auto"/>
      </w:pPr>
      <w:r>
        <w:rPr>
          <w:vertAlign w:val="superscript"/>
        </w:rPr>
        <w:footnoteRef/>
      </w:r>
      <w:r>
        <w:t xml:space="preserve"> </w:t>
      </w:r>
      <w:r>
        <w:rPr>
          <w:i/>
          <w:iCs/>
        </w:rPr>
        <w:t>Id.</w:t>
      </w:r>
      <w:r>
        <w:t xml:space="preserve"> at 143–56.</w:t>
      </w:r>
    </w:p>
  </w:footnote>
  <w:footnote w:id="27">
    <w:p w14:paraId="00000067" w14:textId="77777777" w:rsidR="003074D1" w:rsidRDefault="00000000">
      <w:pPr>
        <w:spacing w:line="240" w:lineRule="auto"/>
      </w:pPr>
      <w:r>
        <w:rPr>
          <w:vertAlign w:val="superscript"/>
        </w:rPr>
        <w:footnoteRef/>
      </w:r>
      <w:r>
        <w:t xml:space="preserve"> </w:t>
      </w:r>
      <w:r>
        <w:rPr>
          <w:i/>
          <w:iCs/>
        </w:rPr>
        <w:t>Id.</w:t>
      </w:r>
      <w:r>
        <w:t xml:space="preserve"> at 159–61.</w:t>
      </w:r>
    </w:p>
  </w:footnote>
  <w:footnote w:id="28">
    <w:p w14:paraId="00000068" w14:textId="77777777" w:rsidR="003074D1" w:rsidRDefault="00000000">
      <w:pPr>
        <w:spacing w:line="240" w:lineRule="auto"/>
      </w:pPr>
      <w:r>
        <w:rPr>
          <w:vertAlign w:val="superscript"/>
        </w:rPr>
        <w:footnoteRef/>
      </w:r>
      <w:r>
        <w:t xml:space="preserve"> </w:t>
      </w:r>
      <w:r>
        <w:rPr>
          <w:i/>
          <w:iCs/>
        </w:rPr>
        <w:t>Util. Air Regul. Grp.</w:t>
      </w:r>
      <w:r>
        <w:t>, 573 U.S. at 320–28.</w:t>
      </w:r>
    </w:p>
  </w:footnote>
  <w:footnote w:id="29">
    <w:p w14:paraId="00000069" w14:textId="77777777" w:rsidR="003074D1" w:rsidRDefault="00000000">
      <w:r>
        <w:rPr>
          <w:vertAlign w:val="superscript"/>
        </w:rPr>
        <w:footnoteRef/>
      </w:r>
      <w:r>
        <w:rPr>
          <w:i/>
          <w:iCs/>
        </w:rPr>
        <w:t xml:space="preserve"> Id.</w:t>
      </w:r>
      <w:r>
        <w:t xml:space="preserve"> at 324 (quoting </w:t>
      </w:r>
      <w:r>
        <w:rPr>
          <w:i/>
          <w:iCs/>
        </w:rPr>
        <w:t>FDA v. Brown &amp; Williamson Tobacco Corp</w:t>
      </w:r>
      <w:r>
        <w:t>., 529 U.S. 120, 160 (2000)).</w:t>
      </w:r>
    </w:p>
  </w:footnote>
  <w:footnote w:id="30">
    <w:p w14:paraId="0000006A" w14:textId="77777777" w:rsidR="003074D1" w:rsidRDefault="00000000">
      <w:r>
        <w:rPr>
          <w:vertAlign w:val="superscript"/>
        </w:rPr>
        <w:footnoteRef/>
      </w:r>
      <w:r>
        <w:rPr>
          <w:i/>
          <w:iCs/>
        </w:rPr>
        <w:t xml:space="preserve"> Ala. Ass'n of Realtors v. Dep't of Health &amp; Hum. Servs.</w:t>
      </w:r>
      <w:r>
        <w:t>, 594 U.S. 758, 760–62 (2021) (per curiam).</w:t>
      </w:r>
    </w:p>
  </w:footnote>
  <w:footnote w:id="31">
    <w:p w14:paraId="0000006B" w14:textId="77777777" w:rsidR="003074D1" w:rsidRDefault="00000000">
      <w:r>
        <w:rPr>
          <w:vertAlign w:val="superscript"/>
        </w:rPr>
        <w:footnoteRef/>
      </w:r>
      <w:r>
        <w:rPr>
          <w:i/>
          <w:iCs/>
        </w:rPr>
        <w:t xml:space="preserve"> Id.</w:t>
      </w:r>
      <w:r>
        <w:t xml:space="preserve"> at 764–66.</w:t>
      </w:r>
    </w:p>
  </w:footnote>
  <w:footnote w:id="32">
    <w:p w14:paraId="0000006C" w14:textId="77777777" w:rsidR="003074D1" w:rsidRDefault="00000000">
      <w:pPr>
        <w:spacing w:line="240" w:lineRule="auto"/>
      </w:pPr>
      <w:r>
        <w:rPr>
          <w:vertAlign w:val="superscript"/>
        </w:rPr>
        <w:footnoteRef/>
      </w:r>
      <w:r>
        <w:t xml:space="preserve"> </w:t>
      </w:r>
      <w:r>
        <w:rPr>
          <w:i/>
          <w:iCs/>
        </w:rPr>
        <w:t>Id.</w:t>
      </w:r>
      <w:r>
        <w:t xml:space="preserve"> at 764.</w:t>
      </w:r>
    </w:p>
  </w:footnote>
  <w:footnote w:id="33">
    <w:p w14:paraId="0000006D" w14:textId="77777777" w:rsidR="003074D1" w:rsidRDefault="00000000">
      <w:pPr>
        <w:spacing w:line="240" w:lineRule="auto"/>
      </w:pPr>
      <w:r>
        <w:rPr>
          <w:vertAlign w:val="superscript"/>
        </w:rPr>
        <w:footnoteRef/>
      </w:r>
      <w:r>
        <w:t xml:space="preserve"> </w:t>
      </w:r>
      <w:r>
        <w:rPr>
          <w:i/>
          <w:iCs/>
        </w:rPr>
        <w:t>Nat'l Fed'n of Indep. Bus. v. Dep't of Lab., Occupational Safety &amp; Health Admin.</w:t>
      </w:r>
      <w:r>
        <w:t>, 595 U.S. 109, 113–14 (2022) (per curiam).</w:t>
      </w:r>
    </w:p>
  </w:footnote>
  <w:footnote w:id="34">
    <w:p w14:paraId="0000006E" w14:textId="77777777" w:rsidR="003074D1" w:rsidRDefault="00000000">
      <w:pPr>
        <w:spacing w:line="240" w:lineRule="auto"/>
      </w:pPr>
      <w:r>
        <w:rPr>
          <w:vertAlign w:val="superscript"/>
        </w:rPr>
        <w:footnoteRef/>
      </w:r>
      <w:r>
        <w:t xml:space="preserve"> </w:t>
      </w:r>
      <w:r>
        <w:rPr>
          <w:i/>
          <w:iCs/>
        </w:rPr>
        <w:t>Id.</w:t>
      </w:r>
      <w:r>
        <w:t xml:space="preserve"> at 117–20.</w:t>
      </w:r>
    </w:p>
  </w:footnote>
  <w:footnote w:id="35">
    <w:p w14:paraId="0000006F" w14:textId="77777777" w:rsidR="003074D1" w:rsidRDefault="00000000">
      <w:pPr>
        <w:spacing w:line="240" w:lineRule="auto"/>
      </w:pPr>
      <w:r>
        <w:rPr>
          <w:vertAlign w:val="superscript"/>
        </w:rPr>
        <w:footnoteRef/>
      </w:r>
      <w:r>
        <w:t xml:space="preserve"> </w:t>
      </w:r>
      <w:r>
        <w:rPr>
          <w:i/>
          <w:iCs/>
        </w:rPr>
        <w:t>West Virginia</w:t>
      </w:r>
      <w:r>
        <w:t>, 597 U.S. at 721–24.</w:t>
      </w:r>
    </w:p>
  </w:footnote>
  <w:footnote w:id="36">
    <w:p w14:paraId="00000070" w14:textId="77777777" w:rsidR="003074D1" w:rsidRDefault="00000000">
      <w:pPr>
        <w:spacing w:line="240" w:lineRule="auto"/>
      </w:pPr>
      <w:r>
        <w:rPr>
          <w:vertAlign w:val="superscript"/>
        </w:rPr>
        <w:footnoteRef/>
      </w:r>
      <w:r>
        <w:t xml:space="preserve"> </w:t>
      </w:r>
      <w:r>
        <w:rPr>
          <w:i/>
          <w:iCs/>
        </w:rPr>
        <w:t>Carbon Pollution Emission Guidelines for Existing Stationary Sources: Electric Utility Generating Units</w:t>
      </w:r>
      <w:r>
        <w:t>, 80 Fed. Reg. 64,662, 64,667–70 (Oct. 23, 2015).</w:t>
      </w:r>
    </w:p>
  </w:footnote>
  <w:footnote w:id="37">
    <w:p w14:paraId="00000071" w14:textId="77777777" w:rsidR="003074D1" w:rsidRDefault="00000000">
      <w:pPr>
        <w:spacing w:line="240" w:lineRule="auto"/>
      </w:pPr>
      <w:r>
        <w:rPr>
          <w:vertAlign w:val="superscript"/>
        </w:rPr>
        <w:footnoteRef/>
      </w:r>
      <w:r>
        <w:t xml:space="preserve"> </w:t>
      </w:r>
      <w:r>
        <w:rPr>
          <w:i/>
          <w:iCs/>
        </w:rPr>
        <w:t>Id.</w:t>
      </w:r>
    </w:p>
  </w:footnote>
  <w:footnote w:id="38">
    <w:p w14:paraId="00000072" w14:textId="77777777" w:rsidR="003074D1" w:rsidRDefault="00000000">
      <w:pPr>
        <w:spacing w:line="240" w:lineRule="auto"/>
      </w:pPr>
      <w:r>
        <w:rPr>
          <w:vertAlign w:val="superscript"/>
        </w:rPr>
        <w:footnoteRef/>
      </w:r>
      <w:r>
        <w:t xml:space="preserve"> </w:t>
      </w:r>
      <w:r>
        <w:rPr>
          <w:i/>
          <w:iCs/>
        </w:rPr>
        <w:t>West Virginia</w:t>
      </w:r>
      <w:r>
        <w:t>, 597 U.S. at 713–15.</w:t>
      </w:r>
    </w:p>
  </w:footnote>
  <w:footnote w:id="39">
    <w:p w14:paraId="00000073" w14:textId="77777777" w:rsidR="003074D1" w:rsidRDefault="00000000">
      <w:pPr>
        <w:spacing w:line="240" w:lineRule="auto"/>
      </w:pPr>
      <w:r>
        <w:rPr>
          <w:vertAlign w:val="superscript"/>
        </w:rPr>
        <w:footnoteRef/>
      </w:r>
      <w:r>
        <w:t xml:space="preserve"> </w:t>
      </w:r>
      <w:r>
        <w:rPr>
          <w:i/>
          <w:iCs/>
        </w:rPr>
        <w:t>Id.</w:t>
      </w:r>
      <w:r>
        <w:t xml:space="preserve"> at 715–18.</w:t>
      </w:r>
    </w:p>
  </w:footnote>
  <w:footnote w:id="40">
    <w:p w14:paraId="00000074" w14:textId="77777777" w:rsidR="003074D1" w:rsidRDefault="00000000">
      <w:pPr>
        <w:spacing w:line="240" w:lineRule="auto"/>
      </w:pPr>
      <w:r>
        <w:rPr>
          <w:vertAlign w:val="superscript"/>
        </w:rPr>
        <w:footnoteRef/>
      </w:r>
      <w:r>
        <w:t xml:space="preserve"> </w:t>
      </w:r>
      <w:r>
        <w:rPr>
          <w:i/>
          <w:iCs/>
        </w:rPr>
        <w:t>Id.</w:t>
      </w:r>
      <w:r>
        <w:t xml:space="preserve"> at 732–35.</w:t>
      </w:r>
    </w:p>
  </w:footnote>
  <w:footnote w:id="41">
    <w:p w14:paraId="00000075" w14:textId="77777777" w:rsidR="003074D1" w:rsidRDefault="00000000">
      <w:pPr>
        <w:spacing w:line="240" w:lineRule="auto"/>
      </w:pPr>
      <w:r>
        <w:rPr>
          <w:vertAlign w:val="superscript"/>
        </w:rPr>
        <w:footnoteRef/>
      </w:r>
      <w:r>
        <w:t xml:space="preserve"> </w:t>
      </w:r>
      <w:r>
        <w:rPr>
          <w:i/>
          <w:iCs/>
        </w:rPr>
        <w:t>Id.</w:t>
      </w:r>
      <w:r>
        <w:t xml:space="preserve"> at 721–23.</w:t>
      </w:r>
    </w:p>
  </w:footnote>
  <w:footnote w:id="42">
    <w:p w14:paraId="00000076" w14:textId="77777777" w:rsidR="003074D1" w:rsidRDefault="00000000">
      <w:pPr>
        <w:spacing w:line="240" w:lineRule="auto"/>
      </w:pPr>
      <w:r>
        <w:rPr>
          <w:vertAlign w:val="superscript"/>
        </w:rPr>
        <w:footnoteRef/>
      </w:r>
      <w:r>
        <w:t xml:space="preserve"> </w:t>
      </w:r>
      <w:r>
        <w:rPr>
          <w:i/>
          <w:iCs/>
        </w:rPr>
        <w:t>Id.</w:t>
      </w:r>
      <w:r>
        <w:t xml:space="preserve"> at 724–31.</w:t>
      </w:r>
    </w:p>
  </w:footnote>
  <w:footnote w:id="43">
    <w:p w14:paraId="00000077" w14:textId="77777777" w:rsidR="003074D1" w:rsidRDefault="00000000">
      <w:pPr>
        <w:spacing w:line="240" w:lineRule="auto"/>
      </w:pPr>
      <w:r>
        <w:rPr>
          <w:vertAlign w:val="superscript"/>
        </w:rPr>
        <w:footnoteRef/>
      </w:r>
      <w:r>
        <w:t xml:space="preserve"> </w:t>
      </w:r>
      <w:r>
        <w:rPr>
          <w:i/>
          <w:iCs/>
        </w:rPr>
        <w:t>Id.</w:t>
      </w:r>
      <w:r>
        <w:t xml:space="preserve"> at 721–24.</w:t>
      </w:r>
    </w:p>
  </w:footnote>
  <w:footnote w:id="44">
    <w:p w14:paraId="00000078" w14:textId="77777777" w:rsidR="003074D1" w:rsidRDefault="00000000">
      <w:pPr>
        <w:spacing w:line="240" w:lineRule="auto"/>
      </w:pPr>
      <w:r>
        <w:rPr>
          <w:vertAlign w:val="superscript"/>
        </w:rPr>
        <w:footnoteRef/>
      </w:r>
      <w:r>
        <w:t xml:space="preserve"> </w:t>
      </w:r>
      <w:r>
        <w:rPr>
          <w:i/>
          <w:iCs/>
        </w:rPr>
        <w:t>Id.</w:t>
      </w:r>
      <w:r>
        <w:t xml:space="preserve"> at 723 (quoting </w:t>
      </w:r>
      <w:r>
        <w:rPr>
          <w:i/>
          <w:iCs/>
        </w:rPr>
        <w:t>Util. Air Regul. Grp. v. EPA</w:t>
      </w:r>
      <w:r>
        <w:t>, 573 U.S. 302, 324 (2014)).</w:t>
      </w:r>
    </w:p>
  </w:footnote>
  <w:footnote w:id="45">
    <w:p w14:paraId="00000079" w14:textId="77777777" w:rsidR="003074D1" w:rsidRDefault="00000000">
      <w:pPr>
        <w:spacing w:line="240" w:lineRule="auto"/>
      </w:pPr>
      <w:r>
        <w:rPr>
          <w:vertAlign w:val="superscript"/>
        </w:rPr>
        <w:footnoteRef/>
      </w:r>
      <w:r>
        <w:t xml:space="preserve"> </w:t>
      </w:r>
      <w:r>
        <w:rPr>
          <w:i/>
          <w:iCs/>
        </w:rPr>
        <w:t>Id.</w:t>
      </w:r>
      <w:r>
        <w:t xml:space="preserve"> at 728–32.</w:t>
      </w:r>
    </w:p>
  </w:footnote>
  <w:footnote w:id="46">
    <w:p w14:paraId="0000007A" w14:textId="77777777" w:rsidR="003074D1" w:rsidRDefault="00000000">
      <w:pPr>
        <w:spacing w:line="240" w:lineRule="auto"/>
      </w:pPr>
      <w:r>
        <w:rPr>
          <w:vertAlign w:val="superscript"/>
        </w:rPr>
        <w:footnoteRef/>
      </w:r>
      <w:r>
        <w:t xml:space="preserve"> </w:t>
      </w:r>
      <w:r>
        <w:rPr>
          <w:i/>
          <w:iCs/>
        </w:rPr>
        <w:t>Id.</w:t>
      </w:r>
      <w:r>
        <w:t xml:space="preserve"> at 735.</w:t>
      </w:r>
    </w:p>
  </w:footnote>
  <w:footnote w:id="47">
    <w:p w14:paraId="0000007B" w14:textId="77777777" w:rsidR="003074D1" w:rsidRDefault="00000000">
      <w:pPr>
        <w:spacing w:line="240" w:lineRule="auto"/>
      </w:pPr>
      <w:r>
        <w:rPr>
          <w:vertAlign w:val="superscript"/>
        </w:rPr>
        <w:footnoteRef/>
      </w:r>
      <w:r>
        <w:t xml:space="preserve"> </w:t>
      </w:r>
      <w:r>
        <w:rPr>
          <w:i/>
          <w:iCs/>
        </w:rPr>
        <w:t>Id.</w:t>
      </w:r>
      <w:r>
        <w:t xml:space="preserve"> at 721–23.</w:t>
      </w:r>
    </w:p>
  </w:footnote>
  <w:footnote w:id="48">
    <w:p w14:paraId="0000007C" w14:textId="77777777" w:rsidR="003074D1" w:rsidRDefault="00000000">
      <w:pPr>
        <w:spacing w:line="240" w:lineRule="auto"/>
      </w:pPr>
      <w:r>
        <w:rPr>
          <w:vertAlign w:val="superscript"/>
        </w:rPr>
        <w:footnoteRef/>
      </w:r>
      <w:r>
        <w:t xml:space="preserve"> </w:t>
      </w:r>
      <w:r>
        <w:rPr>
          <w:i/>
          <w:iCs/>
        </w:rPr>
        <w:t>See id.</w:t>
      </w:r>
      <w:r>
        <w:t xml:space="preserve"> at 735.</w:t>
      </w:r>
    </w:p>
  </w:footnote>
  <w:footnote w:id="49">
    <w:p w14:paraId="0000007D" w14:textId="77777777" w:rsidR="003074D1" w:rsidRDefault="00000000">
      <w:pPr>
        <w:spacing w:line="240" w:lineRule="auto"/>
      </w:pPr>
      <w:r>
        <w:rPr>
          <w:vertAlign w:val="superscript"/>
        </w:rPr>
        <w:footnoteRef/>
      </w:r>
      <w:r>
        <w:t xml:space="preserve"> </w:t>
      </w:r>
      <w:r>
        <w:rPr>
          <w:i/>
          <w:iCs/>
        </w:rPr>
        <w:t>Id.</w:t>
      </w:r>
      <w:r>
        <w:t xml:space="preserve"> at 748–56 (Kagan, J., dissenting).</w:t>
      </w:r>
    </w:p>
  </w:footnote>
  <w:footnote w:id="50">
    <w:p w14:paraId="0000007E" w14:textId="77777777" w:rsidR="003074D1" w:rsidRDefault="00000000">
      <w:pPr>
        <w:spacing w:line="240" w:lineRule="auto"/>
      </w:pPr>
      <w:r>
        <w:rPr>
          <w:vertAlign w:val="superscript"/>
        </w:rPr>
        <w:footnoteRef/>
      </w:r>
      <w:r>
        <w:t xml:space="preserve"> </w:t>
      </w:r>
      <w:r>
        <w:rPr>
          <w:i/>
          <w:iCs/>
        </w:rPr>
        <w:t>Id.</w:t>
      </w:r>
    </w:p>
  </w:footnote>
  <w:footnote w:id="51">
    <w:p w14:paraId="0000007F" w14:textId="77777777" w:rsidR="003074D1" w:rsidRDefault="00000000">
      <w:pPr>
        <w:spacing w:line="240" w:lineRule="auto"/>
      </w:pPr>
      <w:r>
        <w:rPr>
          <w:vertAlign w:val="superscript"/>
        </w:rPr>
        <w:footnoteRef/>
      </w:r>
      <w:r>
        <w:t xml:space="preserve"> </w:t>
      </w:r>
      <w:r>
        <w:rPr>
          <w:i/>
          <w:iCs/>
        </w:rPr>
        <w:t>Id.</w:t>
      </w:r>
      <w:r>
        <w:t xml:space="preserve"> at 721–23 (majority opinion).</w:t>
      </w:r>
    </w:p>
  </w:footnote>
  <w:footnote w:id="52">
    <w:p w14:paraId="00000080" w14:textId="77777777" w:rsidR="003074D1" w:rsidRDefault="00000000">
      <w:pPr>
        <w:spacing w:line="240" w:lineRule="auto"/>
      </w:pPr>
      <w:r>
        <w:rPr>
          <w:vertAlign w:val="superscript"/>
        </w:rPr>
        <w:footnoteRef/>
      </w:r>
      <w:r>
        <w:t xml:space="preserve"> </w:t>
      </w:r>
      <w:r>
        <w:rPr>
          <w:i/>
          <w:iCs/>
        </w:rPr>
        <w:t>Id.</w:t>
      </w:r>
      <w:r>
        <w:t xml:space="preserve"> at 752–58 (Kagan, J., dissenting).</w:t>
      </w:r>
    </w:p>
  </w:footnote>
  <w:footnote w:id="53">
    <w:p w14:paraId="00000081" w14:textId="77777777" w:rsidR="003074D1" w:rsidRDefault="00000000">
      <w:pPr>
        <w:spacing w:line="240" w:lineRule="auto"/>
      </w:pPr>
      <w:r>
        <w:rPr>
          <w:vertAlign w:val="superscript"/>
        </w:rPr>
        <w:footnoteRef/>
      </w:r>
      <w:r>
        <w:t xml:space="preserve"> </w:t>
      </w:r>
      <w:r>
        <w:rPr>
          <w:i/>
          <w:iCs/>
        </w:rPr>
        <w:t>Id.</w:t>
      </w:r>
      <w:r>
        <w:t xml:space="preserve"> at 756–64.</w:t>
      </w:r>
    </w:p>
  </w:footnote>
  <w:footnote w:id="54">
    <w:p w14:paraId="00000082" w14:textId="77777777" w:rsidR="003074D1" w:rsidRDefault="00000000">
      <w:pPr>
        <w:spacing w:line="240" w:lineRule="auto"/>
      </w:pPr>
      <w:r>
        <w:rPr>
          <w:vertAlign w:val="superscript"/>
        </w:rPr>
        <w:footnoteRef/>
      </w:r>
      <w:r>
        <w:t xml:space="preserve"> </w:t>
      </w:r>
      <w:r>
        <w:rPr>
          <w:i/>
          <w:iCs/>
        </w:rPr>
        <w:t>Id.</w:t>
      </w:r>
      <w:r>
        <w:t xml:space="preserve"> at 721–24 (majority opinion).</w:t>
      </w:r>
    </w:p>
  </w:footnote>
  <w:footnote w:id="55">
    <w:p w14:paraId="00000083" w14:textId="77777777" w:rsidR="003074D1" w:rsidRDefault="00000000">
      <w:pPr>
        <w:spacing w:line="240" w:lineRule="auto"/>
      </w:pPr>
      <w:r>
        <w:rPr>
          <w:vertAlign w:val="superscript"/>
        </w:rPr>
        <w:footnoteRef/>
      </w:r>
      <w:r>
        <w:t xml:space="preserve"> </w:t>
      </w:r>
      <w:r>
        <w:rPr>
          <w:i/>
          <w:iCs/>
        </w:rPr>
        <w:t>See West Virginia</w:t>
      </w:r>
      <w:r>
        <w:t>, 597 U.S. at 721–23.</w:t>
      </w:r>
    </w:p>
  </w:footnote>
  <w:footnote w:id="56">
    <w:p w14:paraId="00000084" w14:textId="77777777" w:rsidR="003074D1" w:rsidRDefault="00000000">
      <w:pPr>
        <w:spacing w:line="240" w:lineRule="auto"/>
      </w:pPr>
      <w:r>
        <w:rPr>
          <w:vertAlign w:val="superscript"/>
        </w:rPr>
        <w:footnoteRef/>
      </w:r>
      <w:r>
        <w:t xml:space="preserve"> </w:t>
      </w:r>
      <w:r>
        <w:rPr>
          <w:i/>
          <w:iCs/>
        </w:rPr>
        <w:t>Id.</w:t>
      </w:r>
      <w:r>
        <w:t xml:space="preserve"> at 723–24.</w:t>
      </w:r>
    </w:p>
  </w:footnote>
  <w:footnote w:id="57">
    <w:p w14:paraId="00000085" w14:textId="77777777" w:rsidR="003074D1" w:rsidRDefault="00000000">
      <w:pPr>
        <w:spacing w:line="240" w:lineRule="auto"/>
      </w:pPr>
      <w:r>
        <w:rPr>
          <w:vertAlign w:val="superscript"/>
        </w:rPr>
        <w:footnoteRef/>
      </w:r>
      <w:r>
        <w:t xml:space="preserve"> </w:t>
      </w:r>
      <w:r>
        <w:rPr>
          <w:i/>
          <w:iCs/>
        </w:rPr>
        <w:t>Biden</w:t>
      </w:r>
      <w:r>
        <w:t>, 600 U.S. at 483–89.</w:t>
      </w:r>
    </w:p>
  </w:footnote>
  <w:footnote w:id="58">
    <w:p w14:paraId="00000086" w14:textId="77777777" w:rsidR="003074D1" w:rsidRDefault="00000000">
      <w:pPr>
        <w:spacing w:line="240" w:lineRule="auto"/>
      </w:pPr>
      <w:r>
        <w:rPr>
          <w:vertAlign w:val="superscript"/>
        </w:rPr>
        <w:footnoteRef/>
      </w:r>
      <w:r>
        <w:t xml:space="preserve"> </w:t>
      </w:r>
      <w:r>
        <w:rPr>
          <w:i/>
          <w:iCs/>
        </w:rPr>
        <w:t>Id.</w:t>
      </w:r>
      <w:r>
        <w:t xml:space="preserve"> at 500–07.</w:t>
      </w:r>
    </w:p>
  </w:footnote>
  <w:footnote w:id="59">
    <w:p w14:paraId="00000087" w14:textId="77777777" w:rsidR="003074D1" w:rsidRDefault="00000000">
      <w:pPr>
        <w:rPr>
          <w:sz w:val="16"/>
          <w:szCs w:val="16"/>
        </w:rPr>
      </w:pPr>
      <w:r>
        <w:rPr>
          <w:vertAlign w:val="superscript"/>
        </w:rPr>
        <w:footnoteRef/>
      </w:r>
      <w:r>
        <w:rPr>
          <w:sz w:val="16"/>
          <w:szCs w:val="16"/>
        </w:rPr>
        <w:t xml:space="preserve"> </w:t>
      </w:r>
      <w:r>
        <w:rPr>
          <w:i/>
          <w:iCs/>
          <w:sz w:val="16"/>
          <w:szCs w:val="16"/>
        </w:rPr>
        <w:t>Loper Bright</w:t>
      </w:r>
      <w:r>
        <w:rPr>
          <w:sz w:val="16"/>
          <w:szCs w:val="16"/>
        </w:rPr>
        <w:t>, 603 U.S. at 412.</w:t>
      </w:r>
    </w:p>
  </w:footnote>
  <w:footnote w:id="60">
    <w:p w14:paraId="00000088" w14:textId="77777777" w:rsidR="003074D1" w:rsidRDefault="00000000">
      <w:pPr>
        <w:spacing w:line="240" w:lineRule="auto"/>
      </w:pPr>
      <w:r>
        <w:rPr>
          <w:vertAlign w:val="superscript"/>
        </w:rPr>
        <w:footnoteRef/>
      </w:r>
      <w:r>
        <w:t xml:space="preserve"> </w:t>
      </w:r>
      <w:r>
        <w:rPr>
          <w:i/>
          <w:iCs/>
        </w:rPr>
        <w:t>Seven Cnty. Infrastructure Coal. v. Eagle County</w:t>
      </w:r>
      <w:r>
        <w:t>, 605 U.S. 168, 177–80 (2025).</w:t>
      </w:r>
    </w:p>
  </w:footnote>
  <w:footnote w:id="61">
    <w:p w14:paraId="00000089" w14:textId="77777777" w:rsidR="003074D1" w:rsidRDefault="00000000">
      <w:pPr>
        <w:spacing w:line="240" w:lineRule="auto"/>
      </w:pPr>
      <w:r>
        <w:rPr>
          <w:vertAlign w:val="superscript"/>
        </w:rPr>
        <w:footnoteRef/>
      </w:r>
      <w:r>
        <w:t xml:space="preserve"> </w:t>
      </w:r>
      <w:r>
        <w:rPr>
          <w:i/>
          <w:iCs/>
        </w:rPr>
        <w:t>Loper Bright</w:t>
      </w:r>
      <w:r>
        <w:t>, 603 U.S. at 394–96.</w:t>
      </w:r>
    </w:p>
  </w:footnote>
  <w:footnote w:id="62">
    <w:p w14:paraId="0000008A" w14:textId="77777777" w:rsidR="003074D1" w:rsidRDefault="00000000">
      <w:pPr>
        <w:spacing w:line="240" w:lineRule="auto"/>
      </w:pPr>
      <w:r>
        <w:rPr>
          <w:vertAlign w:val="superscript"/>
        </w:rPr>
        <w:footnoteRef/>
      </w:r>
      <w:r>
        <w:t xml:space="preserve"> </w:t>
      </w:r>
      <w:r>
        <w:rPr>
          <w:i/>
          <w:iCs/>
        </w:rPr>
        <w:t>Standards of Performance for New, Reconstructed, and Modified Sources and Emissions Guidelines for Existing Sources: Greenhouse Gas Emissions From Fossil Fuel-Fired Electric Generating Units</w:t>
      </w:r>
      <w:r>
        <w:t>, 89 Fed. Reg. 39,798 (May 9, 2024).</w:t>
      </w:r>
    </w:p>
  </w:footnote>
  <w:footnote w:id="63">
    <w:p w14:paraId="0000008B" w14:textId="77777777" w:rsidR="003074D1" w:rsidRDefault="00000000">
      <w:pPr>
        <w:spacing w:line="240" w:lineRule="auto"/>
      </w:pPr>
      <w:r>
        <w:rPr>
          <w:vertAlign w:val="superscript"/>
        </w:rPr>
        <w:footnoteRef/>
      </w:r>
      <w:r>
        <w:t xml:space="preserve"> </w:t>
      </w:r>
      <w:r>
        <w:rPr>
          <w:i/>
          <w:iCs/>
        </w:rPr>
        <w:t>Repeal of  Greenhouse Gas Emissions Standards for Fossil Fuel-Fired Electric Generating Units</w:t>
      </w:r>
      <w:r>
        <w:t>, 90 Fed. Reg. 25,752 (June 17, 2025) (proposed rule).</w:t>
      </w:r>
    </w:p>
  </w:footnote>
  <w:footnote w:id="64">
    <w:p w14:paraId="0000008C" w14:textId="77777777" w:rsidR="003074D1" w:rsidRDefault="00000000">
      <w:pPr>
        <w:spacing w:line="240" w:lineRule="auto"/>
      </w:pPr>
      <w:r>
        <w:rPr>
          <w:vertAlign w:val="superscript"/>
        </w:rPr>
        <w:footnoteRef/>
      </w:r>
      <w:r>
        <w:t xml:space="preserve"> </w:t>
      </w:r>
      <w:r>
        <w:rPr>
          <w:i/>
          <w:iCs/>
        </w:rPr>
        <w:t>Rescission of the Greenhouse Gas Endangerment Finding and Motor Vehicle Greenhouse Gas Emission Standards Under the Clean Air Act</w:t>
      </w:r>
      <w:r>
        <w:t>, 91 Fed. Reg. 7,686 (Feb. 18, 2026).</w:t>
      </w:r>
    </w:p>
  </w:footnote>
  <w:footnote w:id="65">
    <w:p w14:paraId="0000008D" w14:textId="77777777" w:rsidR="003074D1" w:rsidRDefault="00000000">
      <w:pPr>
        <w:spacing w:line="240" w:lineRule="auto"/>
      </w:pPr>
      <w:r>
        <w:rPr>
          <w:vertAlign w:val="superscript"/>
        </w:rPr>
        <w:footnoteRef/>
      </w:r>
      <w:r>
        <w:t xml:space="preserve"> </w:t>
      </w:r>
      <w:r>
        <w:rPr>
          <w:i/>
          <w:iCs/>
        </w:rPr>
        <w:t>See West Virginia</w:t>
      </w:r>
      <w:r>
        <w:t>, 597 U.S. at 721–23.</w:t>
      </w:r>
    </w:p>
  </w:footnote>
  <w:footnote w:id="66">
    <w:p w14:paraId="0000008E" w14:textId="77777777" w:rsidR="003074D1" w:rsidRDefault="00000000">
      <w:pPr>
        <w:spacing w:line="240" w:lineRule="auto"/>
      </w:pPr>
      <w:r>
        <w:rPr>
          <w:vertAlign w:val="superscript"/>
        </w:rPr>
        <w:footnoteRef/>
      </w:r>
      <w:r>
        <w:t xml:space="preserve"> </w:t>
      </w:r>
      <w:r>
        <w:rPr>
          <w:i/>
          <w:iCs/>
        </w:rPr>
        <w:t>See generally</w:t>
      </w:r>
      <w:r>
        <w:t xml:space="preserve"> Cass R. Sunstein, </w:t>
      </w:r>
      <w:r>
        <w:rPr>
          <w:i/>
          <w:iCs/>
        </w:rPr>
        <w:t>Two Justifications for the Major Questions Doctrine</w:t>
      </w:r>
      <w:r>
        <w:t xml:space="preserve">, 76 Fla. L. Rev. 251 (2024); Ilan Wurman, </w:t>
      </w:r>
      <w:r>
        <w:rPr>
          <w:i/>
          <w:iCs/>
        </w:rPr>
        <w:t>Importance and Interpretive Questions</w:t>
      </w:r>
      <w:r>
        <w:t>, 110 Va. L. Rev. 909 (2024).</w:t>
      </w:r>
    </w:p>
  </w:footnote>
  <w:footnote w:id="67">
    <w:p w14:paraId="0000008F" w14:textId="77777777" w:rsidR="003074D1" w:rsidRDefault="00000000">
      <w:pPr>
        <w:spacing w:line="240" w:lineRule="auto"/>
      </w:pPr>
      <w:r>
        <w:rPr>
          <w:vertAlign w:val="superscript"/>
        </w:rPr>
        <w:footnoteRef/>
      </w:r>
      <w:r>
        <w:t xml:space="preserve"> </w:t>
      </w:r>
      <w:r>
        <w:rPr>
          <w:i/>
          <w:iCs/>
        </w:rPr>
        <w:t>Biden</w:t>
      </w:r>
      <w:r>
        <w:t>, 600 U.S. at 500–07.</w:t>
      </w:r>
    </w:p>
  </w:footnote>
  <w:footnote w:id="68">
    <w:p w14:paraId="00000090" w14:textId="77777777" w:rsidR="003074D1" w:rsidRDefault="00000000">
      <w:pPr>
        <w:spacing w:line="240" w:lineRule="auto"/>
      </w:pPr>
      <w:r>
        <w:rPr>
          <w:vertAlign w:val="superscript"/>
        </w:rPr>
        <w:footnoteRef/>
      </w:r>
      <w:r>
        <w:t xml:space="preserve"> </w:t>
      </w:r>
      <w:r>
        <w:rPr>
          <w:i/>
          <w:iCs/>
        </w:rPr>
        <w:t>See West Virginia</w:t>
      </w:r>
      <w:r>
        <w:t>, 597 U.S. at 721–30.</w:t>
      </w:r>
    </w:p>
  </w:footnote>
  <w:footnote w:id="69">
    <w:p w14:paraId="00000091" w14:textId="77777777" w:rsidR="003074D1" w:rsidRDefault="00000000">
      <w:pPr>
        <w:spacing w:line="240" w:lineRule="auto"/>
      </w:pPr>
      <w:r>
        <w:rPr>
          <w:vertAlign w:val="superscript"/>
        </w:rPr>
        <w:footnoteRef/>
      </w:r>
      <w:r>
        <w:t xml:space="preserve"> </w:t>
      </w:r>
      <w:r>
        <w:rPr>
          <w:i/>
          <w:iCs/>
        </w:rPr>
        <w:t>See</w:t>
      </w:r>
      <w:r>
        <w:t xml:space="preserve"> Daniel T. Deacon &amp; Leah M. Litman, </w:t>
      </w:r>
      <w:r>
        <w:rPr>
          <w:i/>
          <w:iCs/>
        </w:rPr>
        <w:t>The New Major Questions Doctrine</w:t>
      </w:r>
      <w:r>
        <w:t xml:space="preserve">, 109 Va. L. Rev. 1009, 1082–89 (2023); Mila Sohoni, </w:t>
      </w:r>
      <w:r>
        <w:rPr>
          <w:i/>
          <w:iCs/>
        </w:rPr>
        <w:t>The Major Questions Quartet</w:t>
      </w:r>
      <w:r>
        <w:t>, 136 Harv. L. Rev. 262, 290–92 (2022).</w:t>
      </w:r>
    </w:p>
  </w:footnote>
  <w:footnote w:id="70">
    <w:p w14:paraId="00000092" w14:textId="77777777" w:rsidR="003074D1" w:rsidRDefault="00000000">
      <w:pPr>
        <w:spacing w:line="240" w:lineRule="auto"/>
      </w:pPr>
      <w:r>
        <w:rPr>
          <w:vertAlign w:val="superscript"/>
        </w:rPr>
        <w:footnoteRef/>
      </w:r>
      <w:r>
        <w:t xml:space="preserve"> </w:t>
      </w:r>
      <w:r>
        <w:rPr>
          <w:i/>
          <w:iCs/>
        </w:rPr>
        <w:t>See generally</w:t>
      </w:r>
      <w:r>
        <w:t xml:space="preserve"> Jody Freeman &amp; Adrian Vermeule, </w:t>
      </w:r>
      <w:r>
        <w:rPr>
          <w:i/>
          <w:iCs/>
        </w:rPr>
        <w:t>Massachusetts v. EPA: From Politics to Expertise</w:t>
      </w:r>
      <w:r>
        <w:t>, 2007 Sup. Ct. Rev. 51.</w:t>
      </w:r>
    </w:p>
  </w:footnote>
  <w:footnote w:id="71">
    <w:p w14:paraId="00000093" w14:textId="77777777" w:rsidR="003074D1" w:rsidRDefault="00000000">
      <w:pPr>
        <w:spacing w:line="240" w:lineRule="auto"/>
      </w:pPr>
      <w:r>
        <w:rPr>
          <w:vertAlign w:val="superscript"/>
        </w:rPr>
        <w:footnoteRef/>
      </w:r>
      <w:r>
        <w:t xml:space="preserve"> </w:t>
      </w:r>
      <w:r>
        <w:rPr>
          <w:i/>
          <w:iCs/>
        </w:rPr>
        <w:t>Massachusetts</w:t>
      </w:r>
      <w:r>
        <w:t>, 549 U.S. at 528–35.</w:t>
      </w:r>
    </w:p>
  </w:footnote>
  <w:footnote w:id="72">
    <w:p w14:paraId="00000094" w14:textId="77777777" w:rsidR="003074D1" w:rsidRDefault="00000000">
      <w:pPr>
        <w:spacing w:line="240" w:lineRule="auto"/>
      </w:pPr>
      <w:r>
        <w:rPr>
          <w:vertAlign w:val="superscript"/>
        </w:rPr>
        <w:footnoteRef/>
      </w:r>
      <w:r>
        <w:t xml:space="preserve"> </w:t>
      </w:r>
      <w:r>
        <w:rPr>
          <w:i/>
          <w:iCs/>
        </w:rPr>
        <w:t>Loper Bright</w:t>
      </w:r>
      <w:r>
        <w:t xml:space="preserve">, 603 U.S. at 394–96; </w:t>
      </w:r>
      <w:r>
        <w:rPr>
          <w:i/>
          <w:iCs/>
        </w:rPr>
        <w:t>Seven County</w:t>
      </w:r>
      <w:r>
        <w:t>, 605 U.S. at 177–80.</w:t>
      </w:r>
    </w:p>
  </w:footnote>
  <w:footnote w:id="73">
    <w:p w14:paraId="00000095" w14:textId="77777777" w:rsidR="003074D1" w:rsidRDefault="00000000">
      <w:pPr>
        <w:spacing w:line="240" w:lineRule="auto"/>
        <w:rPr>
          <w:i/>
          <w:iCs/>
        </w:rPr>
      </w:pPr>
      <w:r>
        <w:rPr>
          <w:vertAlign w:val="superscript"/>
        </w:rPr>
        <w:footnoteRef/>
      </w:r>
      <w:r>
        <w:t xml:space="preserve"> </w:t>
      </w:r>
      <w:r>
        <w:rPr>
          <w:i/>
          <w:iCs/>
        </w:rPr>
        <w:t>Compare</w:t>
      </w:r>
      <w:r>
        <w:t xml:space="preserve"> Ilan Wurman, </w:t>
      </w:r>
      <w:r>
        <w:rPr>
          <w:i/>
          <w:iCs/>
        </w:rPr>
        <w:t>Importance and Interpretive Questions</w:t>
      </w:r>
      <w:r>
        <w:t xml:space="preserve">, 110 Va. L. Rev. 909 (2024), </w:t>
      </w:r>
      <w:r>
        <w:rPr>
          <w:i/>
          <w:iCs/>
        </w:rPr>
        <w:t>with</w:t>
      </w:r>
      <w:r>
        <w:t xml:space="preserve"> Thomas W. Merrill, </w:t>
      </w:r>
      <w:r>
        <w:rPr>
          <w:i/>
          <w:iCs/>
        </w:rPr>
        <w:t>The Major Questions Doctrine: Right Diagnosis, Wrong Remedy</w:t>
      </w:r>
      <w:r>
        <w:t xml:space="preserve"> 13, 24–29 (Hoover Inst. 2023); Daniel T. Deacon &amp; Leah M. Litman, </w:t>
      </w:r>
      <w:r>
        <w:rPr>
          <w:i/>
          <w:iCs/>
        </w:rPr>
        <w:t>supra</w:t>
      </w:r>
      <w:r>
        <w:t xml:space="preserve"> note 69, at 1082–89.</w:t>
      </w:r>
    </w:p>
  </w:footnote>
  <w:footnote w:id="74">
    <w:p w14:paraId="00000096" w14:textId="77777777" w:rsidR="003074D1" w:rsidRDefault="00000000">
      <w:pPr>
        <w:spacing w:line="240" w:lineRule="auto"/>
      </w:pPr>
      <w:r>
        <w:rPr>
          <w:vertAlign w:val="superscript"/>
        </w:rPr>
        <w:footnoteRef/>
      </w:r>
      <w:r>
        <w:t xml:space="preserve"> </w:t>
      </w:r>
      <w:r>
        <w:rPr>
          <w:i/>
          <w:iCs/>
        </w:rPr>
        <w:t>See West Virginia</w:t>
      </w:r>
      <w:r>
        <w:t>, 597 U.S. at 721–23, 735.</w:t>
      </w:r>
    </w:p>
  </w:footnote>
  <w:footnote w:id="75">
    <w:p w14:paraId="00000097" w14:textId="77777777" w:rsidR="003074D1" w:rsidRDefault="00000000">
      <w:pPr>
        <w:spacing w:line="240" w:lineRule="auto"/>
      </w:pPr>
      <w:r>
        <w:rPr>
          <w:vertAlign w:val="superscript"/>
        </w:rPr>
        <w:footnoteRef/>
      </w:r>
      <w:r>
        <w:t xml:space="preserve"> </w:t>
      </w:r>
      <w:r>
        <w:rPr>
          <w:i/>
          <w:iCs/>
        </w:rPr>
        <w:t>See Biden</w:t>
      </w:r>
      <w:r>
        <w:t xml:space="preserve">, 600 U.S. at 500–07; </w:t>
      </w:r>
      <w:r>
        <w:rPr>
          <w:i/>
          <w:iCs/>
        </w:rPr>
        <w:t>Loper Bright</w:t>
      </w:r>
      <w:r>
        <w:t>, 603 U.S. at 412.</w:t>
      </w:r>
    </w:p>
  </w:footnote>
  <w:footnote w:id="76">
    <w:p w14:paraId="00000098" w14:textId="77777777" w:rsidR="003074D1" w:rsidRDefault="00000000">
      <w:pPr>
        <w:spacing w:line="240" w:lineRule="auto"/>
      </w:pPr>
      <w:r>
        <w:rPr>
          <w:vertAlign w:val="superscript"/>
        </w:rPr>
        <w:footnoteRef/>
      </w:r>
      <w:r>
        <w:t xml:space="preserve"> </w:t>
      </w:r>
      <w:r>
        <w:rPr>
          <w:i/>
          <w:iCs/>
        </w:rPr>
        <w:t>See Seven County</w:t>
      </w:r>
      <w:r>
        <w:t>, 605 U.S. at 177–80.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9D" w14:textId="77777777" w:rsidR="003074D1" w:rsidRDefault="003074D1"/>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embedTrueTypeFonts/>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4D1"/>
    <w:rsid w:val="003074D1"/>
    <w:rsid w:val="00342126"/>
    <w:rsid w:val="00F9769D"/>
    <w:rsid w:val="00FE7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5E1D4FB-0BCE-0542-BF2F-E13B96850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18"/>
        <w:szCs w:val="18"/>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jc w:val="both"/>
      <w:outlineLvl w:val="0"/>
    </w:pPr>
    <w:rPr>
      <w:sz w:val="28"/>
      <w:szCs w:val="28"/>
    </w:rPr>
  </w:style>
  <w:style w:type="paragraph" w:styleId="Heading2">
    <w:name w:val="heading 2"/>
    <w:basedOn w:val="Normal"/>
    <w:next w:val="Normal"/>
    <w:uiPriority w:val="9"/>
    <w:unhideWhenUsed/>
    <w:qFormat/>
    <w:pPr>
      <w:keepNext/>
      <w:keepLines/>
      <w:spacing w:before="280" w:after="80"/>
      <w:jc w:val="both"/>
      <w:outlineLvl w:val="1"/>
    </w:pPr>
    <w:rPr>
      <w:sz w:val="26"/>
      <w:szCs w:val="26"/>
    </w:rPr>
  </w:style>
  <w:style w:type="paragraph" w:styleId="Heading3">
    <w:name w:val="heading 3"/>
    <w:basedOn w:val="Normal"/>
    <w:next w:val="Normal"/>
    <w:uiPriority w:val="9"/>
    <w:semiHidden/>
    <w:unhideWhenUsed/>
    <w:qFormat/>
    <w:pPr>
      <w:keepNext/>
      <w:keepLines/>
      <w:outlineLvl w:val="2"/>
    </w:pPr>
    <w:rPr>
      <w:b/>
      <w:bCs/>
      <w:sz w:val="24"/>
      <w:szCs w:val="24"/>
    </w:rPr>
  </w:style>
  <w:style w:type="paragraph" w:styleId="Heading4">
    <w:name w:val="heading 4"/>
    <w:basedOn w:val="Normal"/>
    <w:next w:val="Normal"/>
    <w:uiPriority w:val="9"/>
    <w:semiHidden/>
    <w:unhideWhenUsed/>
    <w:qFormat/>
    <w:pPr>
      <w:keepNext/>
      <w:keepLines/>
      <w:spacing w:before="280" w:after="80"/>
      <w:outlineLvl w:val="3"/>
    </w:pPr>
    <w:rPr>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Pr>
    <w:rPr>
      <w:b/>
      <w:bCs/>
      <w:sz w:val="32"/>
      <w:szCs w:val="32"/>
    </w:rPr>
  </w:style>
  <w:style w:type="paragraph" w:styleId="Subtitle">
    <w:name w:val="Subtitle"/>
    <w:basedOn w:val="Normal"/>
    <w:next w:val="Normal"/>
    <w:uiPriority w:val="11"/>
    <w:qFormat/>
    <w:pPr>
      <w:keepNext/>
      <w:keepLines/>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5181</Words>
  <Characters>29532</Characters>
  <Application>Microsoft Office Word</Application>
  <DocSecurity>0</DocSecurity>
  <Lines>246</Lines>
  <Paragraphs>69</Paragraphs>
  <ScaleCrop>false</ScaleCrop>
  <Company/>
  <LinksUpToDate>false</LinksUpToDate>
  <CharactersWithSpaces>34644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Anderson, Sierralynn</cp:lastModifiedBy>
  <cp:revision>2</cp:revision>
  <dcterms:created xsi:type="dcterms:W3CDTF">2026-08-19T20:36:00Z</dcterms:created>
  <dcterms:modified xsi:type="dcterms:W3CDTF">2026-08-19T20:36:00Z</dcterms:modified>
</cp:coreProperties>
</file>