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D306D" w:rsidRDefault="00FD306D">
      <w:pPr>
        <w:ind w:left="1440"/>
        <w:rPr>
          <w:rFonts w:ascii="Times New Roman" w:eastAsia="Times New Roman" w:hAnsi="Times New Roman" w:cs="Times New Roman"/>
          <w:sz w:val="36"/>
          <w:szCs w:val="36"/>
        </w:rPr>
      </w:pPr>
    </w:p>
    <w:p w14:paraId="00000002" w14:textId="77777777" w:rsidR="00FD306D" w:rsidRDefault="00FD306D">
      <w:pPr>
        <w:spacing w:line="480" w:lineRule="auto"/>
        <w:ind w:left="-1440" w:firstLine="720"/>
        <w:jc w:val="center"/>
        <w:rPr>
          <w:rFonts w:ascii="Times New Roman" w:eastAsia="Times New Roman" w:hAnsi="Times New Roman" w:cs="Times New Roman"/>
          <w:b/>
          <w:sz w:val="48"/>
          <w:szCs w:val="48"/>
        </w:rPr>
      </w:pPr>
    </w:p>
    <w:p w14:paraId="00000003" w14:textId="77777777" w:rsidR="00FD306D" w:rsidRDefault="00FD306D">
      <w:pPr>
        <w:spacing w:line="480" w:lineRule="auto"/>
        <w:ind w:left="-1440" w:firstLine="720"/>
        <w:jc w:val="center"/>
        <w:rPr>
          <w:rFonts w:ascii="Times New Roman" w:eastAsia="Times New Roman" w:hAnsi="Times New Roman" w:cs="Times New Roman"/>
          <w:b/>
          <w:sz w:val="48"/>
          <w:szCs w:val="48"/>
        </w:rPr>
      </w:pPr>
    </w:p>
    <w:p w14:paraId="00000004" w14:textId="77777777" w:rsidR="00FD306D" w:rsidRDefault="00FD306D">
      <w:pPr>
        <w:spacing w:line="480" w:lineRule="auto"/>
        <w:ind w:left="-1440" w:firstLine="720"/>
        <w:jc w:val="center"/>
        <w:rPr>
          <w:rFonts w:ascii="Times New Roman" w:eastAsia="Times New Roman" w:hAnsi="Times New Roman" w:cs="Times New Roman"/>
          <w:b/>
          <w:sz w:val="48"/>
          <w:szCs w:val="48"/>
        </w:rPr>
      </w:pPr>
    </w:p>
    <w:p w14:paraId="00000005" w14:textId="77777777" w:rsidR="00FD306D" w:rsidRDefault="00000000">
      <w:pPr>
        <w:spacing w:line="480" w:lineRule="auto"/>
        <w:ind w:left="-1440" w:firstLine="720"/>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SierraLynn Anderson</w:t>
      </w:r>
    </w:p>
    <w:p w14:paraId="00000006" w14:textId="77777777" w:rsidR="00FD306D" w:rsidRDefault="00000000">
      <w:pPr>
        <w:spacing w:line="480" w:lineRule="auto"/>
        <w:ind w:left="-1440" w:firstLine="72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 xml:space="preserve">Course: </w:t>
      </w:r>
      <w:r>
        <w:rPr>
          <w:rFonts w:ascii="Times New Roman" w:eastAsia="Times New Roman" w:hAnsi="Times New Roman" w:cs="Times New Roman"/>
          <w:color w:val="262626"/>
          <w:sz w:val="36"/>
          <w:szCs w:val="36"/>
        </w:rPr>
        <w:t>LAW-6272-01</w:t>
      </w:r>
      <w:r>
        <w:rPr>
          <w:rFonts w:ascii="Times New Roman" w:eastAsia="Times New Roman" w:hAnsi="Times New Roman" w:cs="Times New Roman"/>
          <w:sz w:val="36"/>
          <w:szCs w:val="36"/>
        </w:rPr>
        <w:t xml:space="preserve"> - Legal Writing III </w:t>
      </w:r>
    </w:p>
    <w:p w14:paraId="00000007" w14:textId="77777777" w:rsidR="00FD306D" w:rsidRDefault="00000000">
      <w:pPr>
        <w:spacing w:line="480" w:lineRule="auto"/>
        <w:ind w:left="-1440" w:firstLine="72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Professor: Karen Grundy</w:t>
      </w:r>
    </w:p>
    <w:p w14:paraId="00000008" w14:textId="77777777" w:rsidR="00FD306D" w:rsidRDefault="00000000">
      <w:pPr>
        <w:spacing w:line="480" w:lineRule="auto"/>
        <w:ind w:left="-1440" w:firstLine="72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Term: Fall 2025</w:t>
      </w:r>
    </w:p>
    <w:p w14:paraId="00000009" w14:textId="77777777" w:rsidR="00FD306D" w:rsidRDefault="00000000">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sz w:val="36"/>
          <w:szCs w:val="36"/>
        </w:rPr>
        <w:t>Date: September 26, 2025</w:t>
      </w:r>
      <w:r>
        <w:br w:type="page"/>
      </w:r>
    </w:p>
    <w:p w14:paraId="0000000A" w14:textId="77777777" w:rsidR="00FD306D" w:rsidRDefault="00000000">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INTEROFFICE MEMORANDUM</w:t>
      </w:r>
    </w:p>
    <w:p w14:paraId="0000000B" w14:textId="77777777" w:rsidR="00FD306D" w:rsidRDefault="00FD306D">
      <w:pPr>
        <w:spacing w:line="360" w:lineRule="auto"/>
        <w:rPr>
          <w:rFonts w:ascii="Times New Roman" w:eastAsia="Times New Roman" w:hAnsi="Times New Roman" w:cs="Times New Roman"/>
          <w:sz w:val="24"/>
          <w:szCs w:val="24"/>
        </w:rPr>
      </w:pPr>
    </w:p>
    <w:p w14:paraId="0000000C" w14:textId="77777777" w:rsidR="00FD306D"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RAC</w:t>
      </w:r>
    </w:p>
    <w:p w14:paraId="0000000D" w14:textId="77777777" w:rsidR="00FD306D"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From:      Junior Associate</w:t>
      </w:r>
    </w:p>
    <w:p w14:paraId="0000000E" w14:textId="77777777" w:rsidR="00FD306D"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          Edward J. Morgan - ADEA claim</w:t>
      </w:r>
    </w:p>
    <w:p w14:paraId="0000000F" w14:textId="77777777" w:rsidR="00FD306D"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September 26, 2025</w:t>
      </w:r>
    </w:p>
    <w:p w14:paraId="00000010" w14:textId="77777777" w:rsidR="00FD306D" w:rsidRDefault="00FD056B">
      <w:pPr>
        <w:spacing w:line="240" w:lineRule="auto"/>
        <w:rPr>
          <w:rFonts w:ascii="Times New Roman" w:eastAsia="Times New Roman" w:hAnsi="Times New Roman" w:cs="Times New Roman"/>
          <w:sz w:val="24"/>
          <w:szCs w:val="24"/>
        </w:rPr>
      </w:pPr>
      <w:r>
        <w:rPr>
          <w:noProof/>
        </w:rPr>
      </w:r>
      <w:r w:rsidR="00FD056B">
        <w:rPr>
          <w:noProof/>
        </w:rPr>
        <w:pict w14:anchorId="2FB48E09">
          <v:rect id="_x0000_i1025" alt="" style="width:468pt;height:.05pt;mso-width-percent:0;mso-height-percent:0;mso-width-percent:0;mso-height-percent:0" o:hralign="center" o:hrstd="t" o:hr="t" fillcolor="#a0a0a0" stroked="f"/>
        </w:pict>
      </w:r>
    </w:p>
    <w:p w14:paraId="00000011" w14:textId="77777777" w:rsidR="00FD306D" w:rsidRDefault="00FD306D">
      <w:pPr>
        <w:spacing w:line="240" w:lineRule="auto"/>
        <w:rPr>
          <w:rFonts w:ascii="Times New Roman" w:eastAsia="Times New Roman" w:hAnsi="Times New Roman" w:cs="Times New Roman"/>
          <w:b/>
          <w:sz w:val="24"/>
          <w:szCs w:val="24"/>
        </w:rPr>
      </w:pPr>
    </w:p>
    <w:p w14:paraId="00000012"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  Introduction</w:t>
      </w:r>
    </w:p>
    <w:p w14:paraId="00000013" w14:textId="77777777" w:rsidR="00FD306D" w:rsidRDefault="00FD306D">
      <w:pPr>
        <w:spacing w:line="240" w:lineRule="auto"/>
        <w:rPr>
          <w:rFonts w:ascii="Times New Roman" w:eastAsia="Times New Roman" w:hAnsi="Times New Roman" w:cs="Times New Roman"/>
          <w:b/>
          <w:sz w:val="24"/>
          <w:szCs w:val="24"/>
          <w:u w:val="single"/>
        </w:rPr>
      </w:pPr>
    </w:p>
    <w:p w14:paraId="00000014" w14:textId="52B47CD5"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memorandum will address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the district court erred in granting summary judgment for Architronics, Inc. in </w:t>
      </w:r>
      <w:r>
        <w:rPr>
          <w:rFonts w:ascii="Times New Roman" w:eastAsia="Times New Roman" w:hAnsi="Times New Roman" w:cs="Times New Roman"/>
          <w:i/>
          <w:sz w:val="24"/>
          <w:szCs w:val="24"/>
        </w:rPr>
        <w:t>Morgan v. Architronics</w:t>
      </w:r>
      <w:r>
        <w:rPr>
          <w:rFonts w:ascii="Times New Roman" w:eastAsia="Times New Roman" w:hAnsi="Times New Roman" w:cs="Times New Roman"/>
          <w:sz w:val="24"/>
          <w:szCs w:val="24"/>
        </w:rPr>
        <w:t xml:space="preserve">.  Edward J. Morgan, age 57, alleged unlawful termination under the Age Discrimination in Employment Act (ADEA). 9 U.S.C § 623(a)(1). The district court held that Morgan failed to establish a genuine dispute of material fact that age was the “but-for” </w:t>
      </w:r>
      <w:proofErr w:type="gramStart"/>
      <w:r>
        <w:rPr>
          <w:rFonts w:ascii="Times New Roman" w:eastAsia="Times New Roman" w:hAnsi="Times New Roman" w:cs="Times New Roman"/>
          <w:sz w:val="24"/>
          <w:szCs w:val="24"/>
        </w:rPr>
        <w:t>cause</w:t>
      </w:r>
      <w:proofErr w:type="gramEnd"/>
      <w:r>
        <w:rPr>
          <w:rFonts w:ascii="Times New Roman" w:eastAsia="Times New Roman" w:hAnsi="Times New Roman" w:cs="Times New Roman"/>
          <w:sz w:val="24"/>
          <w:szCs w:val="24"/>
        </w:rPr>
        <w:t xml:space="preserve"> of his discharge from Architronics. R. at 1. As the prima facie case is uncontested in our case, the key issues on appeal arise under the </w:t>
      </w:r>
      <w:r>
        <w:rPr>
          <w:rFonts w:ascii="Times New Roman" w:eastAsia="Times New Roman" w:hAnsi="Times New Roman" w:cs="Times New Roman"/>
          <w:i/>
          <w:sz w:val="24"/>
          <w:szCs w:val="24"/>
        </w:rPr>
        <w:t>McDonnell Douglas</w:t>
      </w:r>
      <w:r>
        <w:rPr>
          <w:rFonts w:ascii="Times New Roman" w:eastAsia="Times New Roman" w:hAnsi="Times New Roman" w:cs="Times New Roman"/>
          <w:sz w:val="24"/>
          <w:szCs w:val="24"/>
        </w:rPr>
        <w:t xml:space="preserve"> burden-shifting framework: 1) whether Morgan presented sufficient evidence that Architronics’ proffered reasons for termination were pretextual, and 2) whether a jury could conclude that age was the determinative factor in Morgan’s termination. For the reasons I have set out below, Morgan has likely produced ample evidence to demonstrate that Architronics’ stated reasons were, in </w:t>
      </w:r>
      <w:r w:rsidR="00FD056B">
        <w:rPr>
          <w:rFonts w:ascii="Times New Roman" w:eastAsia="Times New Roman" w:hAnsi="Times New Roman" w:cs="Times New Roman"/>
          <w:sz w:val="24"/>
          <w:szCs w:val="24"/>
        </w:rPr>
        <w:t>fact, pretextual</w:t>
      </w:r>
      <w:r>
        <w:rPr>
          <w:rFonts w:ascii="Times New Roman" w:eastAsia="Times New Roman" w:hAnsi="Times New Roman" w:cs="Times New Roman"/>
          <w:sz w:val="24"/>
          <w:szCs w:val="24"/>
        </w:rPr>
        <w:t xml:space="preserve"> and that age discrimination was the decisive factor in his termination. </w:t>
      </w:r>
    </w:p>
    <w:p w14:paraId="00000015" w14:textId="77777777" w:rsidR="00FD306D" w:rsidRDefault="00FD306D">
      <w:pPr>
        <w:spacing w:line="240" w:lineRule="auto"/>
        <w:rPr>
          <w:rFonts w:ascii="Times New Roman" w:eastAsia="Times New Roman" w:hAnsi="Times New Roman" w:cs="Times New Roman"/>
          <w:sz w:val="24"/>
          <w:szCs w:val="24"/>
          <w:u w:val="single"/>
        </w:rPr>
      </w:pPr>
    </w:p>
    <w:p w14:paraId="00000016" w14:textId="7777777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ADEA makes it unlawful for an employer to “discharge any individual…because of such individual’s age”. 29 U.S.C § 623(a)(1). Employees aged 40 and older are considered a protected class under this act. </w:t>
      </w:r>
      <w:r>
        <w:rPr>
          <w:rFonts w:ascii="Times New Roman" w:eastAsia="Times New Roman" w:hAnsi="Times New Roman" w:cs="Times New Roman"/>
          <w:i/>
          <w:sz w:val="24"/>
          <w:szCs w:val="24"/>
        </w:rPr>
        <w:t>Id.</w:t>
      </w:r>
      <w:r>
        <w:rPr>
          <w:rFonts w:ascii="Times New Roman" w:eastAsia="Times New Roman" w:hAnsi="Times New Roman" w:cs="Times New Roman"/>
          <w:sz w:val="24"/>
          <w:szCs w:val="24"/>
        </w:rPr>
        <w:t xml:space="preserve"> § 631. Employers may defend this claim on the grounds of a “reasonable factor other than age” or a </w:t>
      </w:r>
      <w:proofErr w:type="spellStart"/>
      <w:r>
        <w:rPr>
          <w:rFonts w:ascii="Times New Roman" w:eastAsia="Times New Roman" w:hAnsi="Times New Roman" w:cs="Times New Roman"/>
          <w:sz w:val="24"/>
          <w:szCs w:val="24"/>
        </w:rPr>
        <w:t>bonafide</w:t>
      </w:r>
      <w:proofErr w:type="spellEnd"/>
      <w:r>
        <w:rPr>
          <w:rFonts w:ascii="Times New Roman" w:eastAsia="Times New Roman" w:hAnsi="Times New Roman" w:cs="Times New Roman"/>
          <w:sz w:val="24"/>
          <w:szCs w:val="24"/>
        </w:rPr>
        <w:t xml:space="preserve"> occupational qualification. </w:t>
      </w:r>
      <w:r>
        <w:rPr>
          <w:rFonts w:ascii="Times New Roman" w:eastAsia="Times New Roman" w:hAnsi="Times New Roman" w:cs="Times New Roman"/>
          <w:i/>
          <w:sz w:val="24"/>
          <w:szCs w:val="24"/>
        </w:rPr>
        <w:t xml:space="preserve">Id. </w:t>
      </w:r>
      <w:r>
        <w:rPr>
          <w:rFonts w:ascii="Times New Roman" w:eastAsia="Times New Roman" w:hAnsi="Times New Roman" w:cs="Times New Roman"/>
          <w:sz w:val="24"/>
          <w:szCs w:val="24"/>
        </w:rPr>
        <w:t xml:space="preserve">§ 623(f). In the absence of direct evidence, ADEA claims are commonly evaluated under the </w:t>
      </w:r>
      <w:r>
        <w:rPr>
          <w:rFonts w:ascii="Times New Roman" w:eastAsia="Times New Roman" w:hAnsi="Times New Roman" w:cs="Times New Roman"/>
          <w:i/>
          <w:sz w:val="24"/>
          <w:szCs w:val="24"/>
        </w:rPr>
        <w:t>McDonnell Douglas</w:t>
      </w:r>
      <w:r>
        <w:rPr>
          <w:rFonts w:ascii="Times New Roman" w:eastAsia="Times New Roman" w:hAnsi="Times New Roman" w:cs="Times New Roman"/>
          <w:sz w:val="24"/>
          <w:szCs w:val="24"/>
        </w:rPr>
        <w:t xml:space="preserve"> framework. </w:t>
      </w:r>
      <w:r>
        <w:rPr>
          <w:rFonts w:ascii="Times New Roman" w:eastAsia="Times New Roman" w:hAnsi="Times New Roman" w:cs="Times New Roman"/>
          <w:i/>
          <w:sz w:val="24"/>
          <w:szCs w:val="24"/>
        </w:rPr>
        <w:t>McDonnell Douglas Corp. v. Green</w:t>
      </w:r>
      <w:r>
        <w:rPr>
          <w:rFonts w:ascii="Times New Roman" w:eastAsia="Times New Roman" w:hAnsi="Times New Roman" w:cs="Times New Roman"/>
          <w:sz w:val="24"/>
          <w:szCs w:val="24"/>
        </w:rPr>
        <w:t xml:space="preserve">, 411 U.S. 792, 802–05 (1973). The plaintiff must first establish a prima facie case, and then the burden shifts to the employer to articulate a legitimate, non-discriminatory reason (LNDR) for the adverse action, or termination. </w:t>
      </w:r>
      <w:r>
        <w:rPr>
          <w:rFonts w:ascii="Times New Roman" w:eastAsia="Times New Roman" w:hAnsi="Times New Roman" w:cs="Times New Roman"/>
          <w:i/>
          <w:sz w:val="24"/>
          <w:szCs w:val="24"/>
        </w:rPr>
        <w:t xml:space="preserve">Tex. </w:t>
      </w:r>
      <w:proofErr w:type="spellStart"/>
      <w:r>
        <w:rPr>
          <w:rFonts w:ascii="Times New Roman" w:eastAsia="Times New Roman" w:hAnsi="Times New Roman" w:cs="Times New Roman"/>
          <w:i/>
          <w:sz w:val="24"/>
          <w:szCs w:val="24"/>
        </w:rPr>
        <w:t>Dep’t</w:t>
      </w:r>
      <w:proofErr w:type="spellEnd"/>
      <w:r>
        <w:rPr>
          <w:rFonts w:ascii="Times New Roman" w:eastAsia="Times New Roman" w:hAnsi="Times New Roman" w:cs="Times New Roman"/>
          <w:i/>
          <w:sz w:val="24"/>
          <w:szCs w:val="24"/>
        </w:rPr>
        <w:t xml:space="preserve"> of </w:t>
      </w:r>
      <w:proofErr w:type="spellStart"/>
      <w:r>
        <w:rPr>
          <w:rFonts w:ascii="Times New Roman" w:eastAsia="Times New Roman" w:hAnsi="Times New Roman" w:cs="Times New Roman"/>
          <w:i/>
          <w:sz w:val="24"/>
          <w:szCs w:val="24"/>
        </w:rPr>
        <w:t>Cmty</w:t>
      </w:r>
      <w:proofErr w:type="spellEnd"/>
      <w:r>
        <w:rPr>
          <w:rFonts w:ascii="Times New Roman" w:eastAsia="Times New Roman" w:hAnsi="Times New Roman" w:cs="Times New Roman"/>
          <w:i/>
          <w:sz w:val="24"/>
          <w:szCs w:val="24"/>
        </w:rPr>
        <w:t>. Affairs v. Burdine</w:t>
      </w:r>
      <w:r>
        <w:rPr>
          <w:rFonts w:ascii="Times New Roman" w:eastAsia="Times New Roman" w:hAnsi="Times New Roman" w:cs="Times New Roman"/>
          <w:sz w:val="24"/>
          <w:szCs w:val="24"/>
        </w:rPr>
        <w:t xml:space="preserve">, 450 U.S. 248, 253 (1981). Lastly, the plaintiff must show that 1) the employer’s stated reason is pretextual and that 2) age was the determinative factor, or “but-for” cause, in their termination. </w:t>
      </w:r>
      <w:r>
        <w:rPr>
          <w:rFonts w:ascii="Times New Roman" w:eastAsia="Times New Roman" w:hAnsi="Times New Roman" w:cs="Times New Roman"/>
          <w:i/>
          <w:sz w:val="24"/>
          <w:szCs w:val="24"/>
        </w:rPr>
        <w:t>Id.</w:t>
      </w:r>
      <w:r>
        <w:rPr>
          <w:rFonts w:ascii="Times New Roman" w:eastAsia="Times New Roman" w:hAnsi="Times New Roman" w:cs="Times New Roman"/>
          <w:sz w:val="24"/>
          <w:szCs w:val="24"/>
        </w:rPr>
        <w:t xml:space="preserve"> at 256. </w:t>
      </w:r>
    </w:p>
    <w:p w14:paraId="00000017" w14:textId="77777777" w:rsidR="00FD306D" w:rsidRDefault="00FD306D">
      <w:pPr>
        <w:spacing w:line="240" w:lineRule="auto"/>
        <w:rPr>
          <w:rFonts w:ascii="Times New Roman" w:eastAsia="Times New Roman" w:hAnsi="Times New Roman" w:cs="Times New Roman"/>
          <w:sz w:val="24"/>
          <w:szCs w:val="24"/>
          <w:u w:val="single"/>
        </w:rPr>
      </w:pPr>
    </w:p>
    <w:p w14:paraId="00000018" w14:textId="77777777" w:rsidR="00FD306D" w:rsidRDefault="00FD306D">
      <w:pPr>
        <w:spacing w:line="240" w:lineRule="auto"/>
        <w:rPr>
          <w:rFonts w:ascii="Times New Roman" w:eastAsia="Times New Roman" w:hAnsi="Times New Roman" w:cs="Times New Roman"/>
          <w:sz w:val="24"/>
          <w:szCs w:val="24"/>
          <w:u w:val="single"/>
        </w:rPr>
      </w:pPr>
    </w:p>
    <w:p w14:paraId="00000019"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Evidence of Pretext</w:t>
      </w:r>
    </w:p>
    <w:p w14:paraId="0000001A" w14:textId="77777777" w:rsidR="00FD306D" w:rsidRDefault="00FD306D">
      <w:pPr>
        <w:spacing w:line="240" w:lineRule="auto"/>
        <w:rPr>
          <w:rFonts w:ascii="Times New Roman" w:eastAsia="Times New Roman" w:hAnsi="Times New Roman" w:cs="Times New Roman"/>
          <w:sz w:val="24"/>
          <w:szCs w:val="24"/>
        </w:rPr>
      </w:pPr>
    </w:p>
    <w:p w14:paraId="0000001B"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 Financial Inconsistencies</w:t>
      </w:r>
    </w:p>
    <w:p w14:paraId="0000001C" w14:textId="77777777" w:rsidR="00FD306D" w:rsidRDefault="00FD306D">
      <w:pPr>
        <w:spacing w:line="240" w:lineRule="auto"/>
        <w:rPr>
          <w:rFonts w:ascii="Times New Roman" w:eastAsia="Times New Roman" w:hAnsi="Times New Roman" w:cs="Times New Roman"/>
          <w:sz w:val="24"/>
          <w:szCs w:val="24"/>
        </w:rPr>
      </w:pPr>
    </w:p>
    <w:p w14:paraId="0000001D" w14:textId="3542CCC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i/>
          <w:sz w:val="24"/>
          <w:szCs w:val="24"/>
        </w:rPr>
        <w:t>Dabbasi</w:t>
      </w:r>
      <w:proofErr w:type="spellEnd"/>
      <w:r>
        <w:rPr>
          <w:rFonts w:ascii="Times New Roman" w:eastAsia="Times New Roman" w:hAnsi="Times New Roman" w:cs="Times New Roman"/>
          <w:i/>
          <w:sz w:val="24"/>
          <w:szCs w:val="24"/>
        </w:rPr>
        <w:t xml:space="preserve"> v. Motiva Enters. LLC</w:t>
      </w:r>
      <w:r>
        <w:rPr>
          <w:rFonts w:ascii="Times New Roman" w:eastAsia="Times New Roman" w:hAnsi="Times New Roman" w:cs="Times New Roman"/>
          <w:sz w:val="24"/>
          <w:szCs w:val="24"/>
        </w:rPr>
        <w:t xml:space="preserve">, 885 F. Supp. 2d 859, 878 (S.D. Tex. 2012), conflicting evidence regarding economic justifications was found to be sufficient to preclude summary judgment. While </w:t>
      </w:r>
      <w:r w:rsidR="00FD056B">
        <w:rPr>
          <w:rFonts w:ascii="Times New Roman" w:eastAsia="Times New Roman" w:hAnsi="Times New Roman" w:cs="Times New Roman"/>
          <w:sz w:val="24"/>
          <w:szCs w:val="24"/>
        </w:rPr>
        <w:t>Architronics</w:t>
      </w:r>
      <w:r>
        <w:rPr>
          <w:rFonts w:ascii="Times New Roman" w:eastAsia="Times New Roman" w:hAnsi="Times New Roman" w:cs="Times New Roman"/>
          <w:sz w:val="24"/>
          <w:szCs w:val="24"/>
        </w:rPr>
        <w:t xml:space="preserve"> cited financial downturn as justification for their </w:t>
      </w:r>
      <w:r>
        <w:rPr>
          <w:rFonts w:ascii="Times New Roman" w:eastAsia="Times New Roman" w:hAnsi="Times New Roman" w:cs="Times New Roman"/>
          <w:sz w:val="24"/>
          <w:szCs w:val="24"/>
        </w:rPr>
        <w:lastRenderedPageBreak/>
        <w:t xml:space="preserve">reduction in force, the record reflects simultaneous expenditures on executive bonuses, luxury executive retreats, and costly renovations of the corporate headquarters. R. at 33.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findings in </w:t>
      </w:r>
      <w:proofErr w:type="spellStart"/>
      <w:r>
        <w:rPr>
          <w:rFonts w:ascii="Times New Roman" w:eastAsia="Times New Roman" w:hAnsi="Times New Roman" w:cs="Times New Roman"/>
          <w:i/>
          <w:sz w:val="24"/>
          <w:szCs w:val="24"/>
        </w:rPr>
        <w:t>Dabassi</w:t>
      </w:r>
      <w:proofErr w:type="spellEnd"/>
      <w:r>
        <w:rPr>
          <w:rFonts w:ascii="Times New Roman" w:eastAsia="Times New Roman" w:hAnsi="Times New Roman" w:cs="Times New Roman"/>
          <w:sz w:val="24"/>
          <w:szCs w:val="24"/>
        </w:rPr>
        <w:t>, a jury could find that Architronics’ asserted financial rationale is unworthy of belief.</w:t>
      </w:r>
    </w:p>
    <w:p w14:paraId="0000001E" w14:textId="77777777" w:rsidR="00FD306D" w:rsidRDefault="00FD306D">
      <w:pPr>
        <w:spacing w:line="240" w:lineRule="auto"/>
        <w:rPr>
          <w:rFonts w:ascii="Times New Roman" w:eastAsia="Times New Roman" w:hAnsi="Times New Roman" w:cs="Times New Roman"/>
          <w:sz w:val="24"/>
          <w:szCs w:val="24"/>
        </w:rPr>
      </w:pPr>
    </w:p>
    <w:p w14:paraId="0000001F"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B. Performance and Qualifications</w:t>
      </w:r>
    </w:p>
    <w:p w14:paraId="00000020" w14:textId="77777777" w:rsidR="00FD306D" w:rsidRDefault="00FD306D">
      <w:pPr>
        <w:spacing w:line="240" w:lineRule="auto"/>
        <w:rPr>
          <w:rFonts w:ascii="Times New Roman" w:eastAsia="Times New Roman" w:hAnsi="Times New Roman" w:cs="Times New Roman"/>
          <w:sz w:val="24"/>
          <w:szCs w:val="24"/>
        </w:rPr>
      </w:pPr>
    </w:p>
    <w:p w14:paraId="00000021" w14:textId="7777777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Fifth Circuit has held that an employer can’t defeat an ADEA claim merely by asserting dissatisfaction where the record reflects satisfactory performance by the employee. </w:t>
      </w:r>
      <w:r>
        <w:rPr>
          <w:rFonts w:ascii="Times New Roman" w:eastAsia="Times New Roman" w:hAnsi="Times New Roman" w:cs="Times New Roman"/>
          <w:i/>
          <w:sz w:val="24"/>
          <w:szCs w:val="24"/>
        </w:rPr>
        <w:t>Bienkowski v. Am. Airlines, Inc.</w:t>
      </w:r>
      <w:r>
        <w:rPr>
          <w:rFonts w:ascii="Times New Roman" w:eastAsia="Times New Roman" w:hAnsi="Times New Roman" w:cs="Times New Roman"/>
          <w:sz w:val="24"/>
          <w:szCs w:val="24"/>
        </w:rPr>
        <w:t xml:space="preserve">, 851 F.2d 1503, 1506 (5th Cir. 1988). Additionally, replacement by a substantially younger employee, even if also over the age of 40, can support an inference of discrimination. </w:t>
      </w:r>
      <w:r>
        <w:rPr>
          <w:rFonts w:ascii="Times New Roman" w:eastAsia="Times New Roman" w:hAnsi="Times New Roman" w:cs="Times New Roman"/>
          <w:i/>
          <w:sz w:val="24"/>
          <w:szCs w:val="24"/>
        </w:rPr>
        <w:t>O’Connor v. Consol. Coin Caterers Corp.</w:t>
      </w:r>
      <w:r>
        <w:rPr>
          <w:rFonts w:ascii="Times New Roman" w:eastAsia="Times New Roman" w:hAnsi="Times New Roman" w:cs="Times New Roman"/>
          <w:sz w:val="24"/>
          <w:szCs w:val="24"/>
        </w:rPr>
        <w:t>, 517 U.S. 308, 312 (1996)</w:t>
      </w:r>
    </w:p>
    <w:p w14:paraId="00000022" w14:textId="77777777" w:rsidR="00FD306D" w:rsidRDefault="00FD306D">
      <w:pPr>
        <w:spacing w:line="240" w:lineRule="auto"/>
        <w:ind w:firstLine="720"/>
        <w:rPr>
          <w:rFonts w:ascii="Times New Roman" w:eastAsia="Times New Roman" w:hAnsi="Times New Roman" w:cs="Times New Roman"/>
          <w:sz w:val="24"/>
          <w:szCs w:val="24"/>
        </w:rPr>
      </w:pPr>
    </w:p>
    <w:p w14:paraId="00000023" w14:textId="3F5ADD7B"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Morgan consistently received positive performance evaluations during his ten years at Architronics, Inc. R. at 28. The company justified his discharge on the grounds that he lacked proficiency with the new CAD system, Quixotic, yet the record shows that the software wasn’t fully operational until months after Morgan’s termination. R. at 13. Architronics hired Margaret Ellison, age 49, into the newly created “CAD Specialist” role, which overlapped significantly with Morgan’s previous role and responsibilities. R. at 22. The timing and superficial title change could allow a jury to conclude that Architronics’ reliance on CAD expertise was merely pretextual.</w:t>
      </w:r>
    </w:p>
    <w:p w14:paraId="00000024" w14:textId="77777777" w:rsidR="00FD306D" w:rsidRDefault="00FD306D">
      <w:pPr>
        <w:spacing w:line="240" w:lineRule="auto"/>
        <w:rPr>
          <w:rFonts w:ascii="Times New Roman" w:eastAsia="Times New Roman" w:hAnsi="Times New Roman" w:cs="Times New Roman"/>
          <w:sz w:val="24"/>
          <w:szCs w:val="24"/>
        </w:rPr>
      </w:pPr>
    </w:p>
    <w:p w14:paraId="00000025" w14:textId="77777777" w:rsidR="00FD306D" w:rsidRDefault="00FD306D">
      <w:pPr>
        <w:spacing w:line="240" w:lineRule="auto"/>
        <w:ind w:left="1440"/>
        <w:rPr>
          <w:rFonts w:ascii="Times New Roman" w:eastAsia="Times New Roman" w:hAnsi="Times New Roman" w:cs="Times New Roman"/>
          <w:sz w:val="24"/>
          <w:szCs w:val="24"/>
        </w:rPr>
      </w:pPr>
    </w:p>
    <w:p w14:paraId="00000026"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But-For Causation</w:t>
      </w:r>
    </w:p>
    <w:p w14:paraId="00000027" w14:textId="77777777" w:rsidR="00FD306D" w:rsidRDefault="00FD306D">
      <w:pPr>
        <w:spacing w:line="240" w:lineRule="auto"/>
        <w:rPr>
          <w:rFonts w:ascii="Times New Roman" w:eastAsia="Times New Roman" w:hAnsi="Times New Roman" w:cs="Times New Roman"/>
          <w:sz w:val="24"/>
          <w:szCs w:val="24"/>
        </w:rPr>
      </w:pPr>
    </w:p>
    <w:p w14:paraId="00000028" w14:textId="7777777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Gross v FBL Fin. Servs., Inc.</w:t>
      </w:r>
      <w:r>
        <w:rPr>
          <w:rFonts w:ascii="Times New Roman" w:eastAsia="Times New Roman" w:hAnsi="Times New Roman" w:cs="Times New Roman"/>
          <w:sz w:val="24"/>
          <w:szCs w:val="24"/>
        </w:rPr>
        <w:t xml:space="preserve">, 557 U.S. 167, 177 (2009), the Supreme Court held that a plaintiff must prove “but-for” causation, because it is insufficient that age was merely one motivating factor in the discharge. However, the Court emphasized that once a plaintiff establishes a prima facie case and produces evidence that the employer’s given reasons for termination are false, a jury may reasonably infer discrimination. </w:t>
      </w:r>
      <w:r>
        <w:rPr>
          <w:rFonts w:ascii="Times New Roman" w:eastAsia="Times New Roman" w:hAnsi="Times New Roman" w:cs="Times New Roman"/>
          <w:i/>
          <w:sz w:val="24"/>
          <w:szCs w:val="24"/>
        </w:rPr>
        <w:t>Reeves v. Sanderson Plumbing Prods., Inc.</w:t>
      </w:r>
      <w:r>
        <w:rPr>
          <w:rFonts w:ascii="Times New Roman" w:eastAsia="Times New Roman" w:hAnsi="Times New Roman" w:cs="Times New Roman"/>
          <w:sz w:val="24"/>
          <w:szCs w:val="24"/>
        </w:rPr>
        <w:t xml:space="preserve">, 530 U.S. 133, 148 (2000). Again, the prima facie case isn’t contested here. The sole question at issue here is whether Morgan’s evidence of pretext and causation is sufficient to survive summary judgment. </w:t>
      </w:r>
    </w:p>
    <w:p w14:paraId="00000029" w14:textId="77777777" w:rsidR="00FD306D" w:rsidRDefault="00FD306D">
      <w:pPr>
        <w:spacing w:line="240" w:lineRule="auto"/>
        <w:rPr>
          <w:rFonts w:ascii="Times New Roman" w:eastAsia="Times New Roman" w:hAnsi="Times New Roman" w:cs="Times New Roman"/>
          <w:sz w:val="24"/>
          <w:szCs w:val="24"/>
        </w:rPr>
      </w:pPr>
    </w:p>
    <w:p w14:paraId="0000002A"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 Ageist remarks</w:t>
      </w:r>
    </w:p>
    <w:p w14:paraId="0000002B" w14:textId="77777777" w:rsidR="00FD306D" w:rsidRDefault="00FD306D">
      <w:pPr>
        <w:spacing w:line="240" w:lineRule="auto"/>
        <w:rPr>
          <w:rFonts w:ascii="Times New Roman" w:eastAsia="Times New Roman" w:hAnsi="Times New Roman" w:cs="Times New Roman"/>
          <w:sz w:val="24"/>
          <w:szCs w:val="24"/>
        </w:rPr>
      </w:pPr>
    </w:p>
    <w:p w14:paraId="0000002C" w14:textId="7777777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5th Circuit court has routinely held that recurring ageist remarks and commentary probative of animus can constitute circumstantial evidence of discriminatory intent. </w:t>
      </w:r>
      <w:r>
        <w:rPr>
          <w:rFonts w:ascii="Times New Roman" w:eastAsia="Times New Roman" w:hAnsi="Times New Roman" w:cs="Times New Roman"/>
          <w:i/>
          <w:sz w:val="24"/>
          <w:szCs w:val="24"/>
        </w:rPr>
        <w:t>Rachid v. Jack in the Box, Inc.</w:t>
      </w:r>
      <w:r>
        <w:rPr>
          <w:rFonts w:ascii="Times New Roman" w:eastAsia="Times New Roman" w:hAnsi="Times New Roman" w:cs="Times New Roman"/>
          <w:sz w:val="24"/>
          <w:szCs w:val="24"/>
        </w:rPr>
        <w:t xml:space="preserve">, 376 F.3d 305, 315 (5th Cir. 2004); </w:t>
      </w:r>
      <w:r>
        <w:rPr>
          <w:rFonts w:ascii="Times New Roman" w:eastAsia="Times New Roman" w:hAnsi="Times New Roman" w:cs="Times New Roman"/>
          <w:i/>
          <w:sz w:val="24"/>
          <w:szCs w:val="24"/>
        </w:rPr>
        <w:t>See also</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Palasota v. Haggar Clothing Co.</w:t>
      </w:r>
      <w:r>
        <w:rPr>
          <w:rFonts w:ascii="Times New Roman" w:eastAsia="Times New Roman" w:hAnsi="Times New Roman" w:cs="Times New Roman"/>
          <w:sz w:val="24"/>
          <w:szCs w:val="24"/>
        </w:rPr>
        <w:t xml:space="preserve">, 342 F.3d 569, 577 (5th Cir. 2003). Architronics executives made repeated, age-related comments to and about Morgan. Vice President Abernathy described Morgan’s work as the “old way” and emphasized a need for “youthful orientation” within the company. R. at 18. President Baker told Morgan </w:t>
      </w:r>
      <w:proofErr w:type="gramStart"/>
      <w:r>
        <w:rPr>
          <w:rFonts w:ascii="Times New Roman" w:eastAsia="Times New Roman" w:hAnsi="Times New Roman" w:cs="Times New Roman"/>
          <w:sz w:val="24"/>
          <w:szCs w:val="24"/>
        </w:rPr>
        <w:t>“times</w:t>
      </w:r>
      <w:proofErr w:type="gramEnd"/>
      <w:r>
        <w:rPr>
          <w:rFonts w:ascii="Times New Roman" w:eastAsia="Times New Roman" w:hAnsi="Times New Roman" w:cs="Times New Roman"/>
          <w:sz w:val="24"/>
          <w:szCs w:val="24"/>
        </w:rPr>
        <w:t xml:space="preserve"> had changed and everybody had to accept such things” and that his “time is coming” too.  </w:t>
      </w:r>
      <w:r>
        <w:rPr>
          <w:rFonts w:ascii="Times New Roman" w:eastAsia="Times New Roman" w:hAnsi="Times New Roman" w:cs="Times New Roman"/>
          <w:i/>
          <w:sz w:val="24"/>
          <w:szCs w:val="24"/>
        </w:rPr>
        <w:t xml:space="preserve">Id. </w:t>
      </w:r>
      <w:r>
        <w:rPr>
          <w:rFonts w:ascii="Times New Roman" w:eastAsia="Times New Roman" w:hAnsi="Times New Roman" w:cs="Times New Roman"/>
          <w:sz w:val="24"/>
          <w:szCs w:val="24"/>
        </w:rPr>
        <w:t xml:space="preserve">The CFO referred to Morgan and his department as the “Leonardo group” as a reference to Leonardo Da Vinci, alluding that the department does things in an antiquated manner. R. at 17. A reasonable jury could interpret these statements as a reflection of </w:t>
      </w:r>
      <w:r>
        <w:rPr>
          <w:rFonts w:ascii="Times New Roman" w:eastAsia="Times New Roman" w:hAnsi="Times New Roman" w:cs="Times New Roman"/>
          <w:sz w:val="24"/>
          <w:szCs w:val="24"/>
        </w:rPr>
        <w:lastRenderedPageBreak/>
        <w:t>bias towards older workers, thereby casting doubt on the company’s stated LNDR. While Architronics emphasized that Ellison was also within the protected class of the ADEA and that CAD restructuring was a legitimate business move without discriminatory intent, the cumulative record suggests that Morgan’s age played a decisive role in his termination.</w:t>
      </w:r>
    </w:p>
    <w:p w14:paraId="0000002D" w14:textId="77777777" w:rsidR="00FD306D" w:rsidRDefault="00FD306D">
      <w:pPr>
        <w:spacing w:line="240" w:lineRule="auto"/>
        <w:ind w:firstLine="720"/>
        <w:rPr>
          <w:rFonts w:ascii="Times New Roman" w:eastAsia="Times New Roman" w:hAnsi="Times New Roman" w:cs="Times New Roman"/>
          <w:sz w:val="24"/>
          <w:szCs w:val="24"/>
        </w:rPr>
      </w:pPr>
    </w:p>
    <w:p w14:paraId="0000002E" w14:textId="77777777" w:rsidR="00FD306D" w:rsidRDefault="00FD306D">
      <w:pPr>
        <w:spacing w:line="240" w:lineRule="auto"/>
        <w:ind w:left="1440"/>
        <w:rPr>
          <w:rFonts w:ascii="Times New Roman" w:eastAsia="Times New Roman" w:hAnsi="Times New Roman" w:cs="Times New Roman"/>
          <w:sz w:val="24"/>
          <w:szCs w:val="24"/>
        </w:rPr>
      </w:pPr>
    </w:p>
    <w:p w14:paraId="0000002F"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 Timing and Benefits</w:t>
      </w:r>
    </w:p>
    <w:p w14:paraId="00000030" w14:textId="77777777" w:rsidR="00FD306D" w:rsidRDefault="00FD306D">
      <w:pPr>
        <w:spacing w:line="240" w:lineRule="auto"/>
        <w:rPr>
          <w:rFonts w:ascii="Times New Roman" w:eastAsia="Times New Roman" w:hAnsi="Times New Roman" w:cs="Times New Roman"/>
          <w:sz w:val="24"/>
          <w:szCs w:val="24"/>
        </w:rPr>
      </w:pPr>
    </w:p>
    <w:p w14:paraId="00000031" w14:textId="7777777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w:t>
      </w:r>
      <w:r>
        <w:rPr>
          <w:rFonts w:ascii="Times New Roman" w:eastAsia="Times New Roman" w:hAnsi="Times New Roman" w:cs="Times New Roman"/>
          <w:i/>
          <w:sz w:val="24"/>
          <w:szCs w:val="24"/>
        </w:rPr>
        <w:t>Hazen Paper Co. v. Biggins</w:t>
      </w:r>
      <w:r>
        <w:rPr>
          <w:rFonts w:ascii="Times New Roman" w:eastAsia="Times New Roman" w:hAnsi="Times New Roman" w:cs="Times New Roman"/>
          <w:sz w:val="24"/>
          <w:szCs w:val="24"/>
        </w:rPr>
        <w:t xml:space="preserve">, 507 U.S. 604, 611 (1993) held that pension status isn’t equivalent to age, the court recognized that timing of termination near vesting of benefits can still serve as circumstantial evidence when combined with other indicia of discrimination. Morgan was terminated nine months before he would have vested his retirement benefits. Further, Architronics’ offer to transfer Morgan to a demoted position in Victoria, with only three days to accept the offer of a job with an impossible commute, may be viewed as a superficial gesture rather than a genuine alternative to his prior position. </w:t>
      </w:r>
    </w:p>
    <w:p w14:paraId="00000032" w14:textId="77777777" w:rsidR="00FD306D" w:rsidRDefault="00FD306D">
      <w:pPr>
        <w:spacing w:line="240" w:lineRule="auto"/>
        <w:ind w:firstLine="720"/>
        <w:rPr>
          <w:rFonts w:ascii="Times New Roman" w:eastAsia="Times New Roman" w:hAnsi="Times New Roman" w:cs="Times New Roman"/>
          <w:sz w:val="24"/>
          <w:szCs w:val="24"/>
        </w:rPr>
      </w:pPr>
    </w:p>
    <w:p w14:paraId="00000033" w14:textId="77777777" w:rsidR="00FD306D" w:rsidRDefault="00FD306D">
      <w:pPr>
        <w:spacing w:line="240" w:lineRule="auto"/>
        <w:rPr>
          <w:rFonts w:ascii="Times New Roman" w:eastAsia="Times New Roman" w:hAnsi="Times New Roman" w:cs="Times New Roman"/>
          <w:sz w:val="24"/>
          <w:szCs w:val="24"/>
        </w:rPr>
      </w:pPr>
    </w:p>
    <w:p w14:paraId="00000034" w14:textId="77777777" w:rsidR="00FD306D"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Conclusion</w:t>
      </w:r>
    </w:p>
    <w:p w14:paraId="00000035" w14:textId="77777777" w:rsidR="00FD306D" w:rsidRDefault="00FD306D">
      <w:pPr>
        <w:spacing w:line="240" w:lineRule="auto"/>
        <w:rPr>
          <w:rFonts w:ascii="Times New Roman" w:eastAsia="Times New Roman" w:hAnsi="Times New Roman" w:cs="Times New Roman"/>
          <w:sz w:val="24"/>
          <w:szCs w:val="24"/>
        </w:rPr>
      </w:pPr>
    </w:p>
    <w:p w14:paraId="00000036" w14:textId="7777777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Reeves</w:t>
      </w:r>
      <w:r>
        <w:rPr>
          <w:rFonts w:ascii="Times New Roman" w:eastAsia="Times New Roman" w:hAnsi="Times New Roman" w:cs="Times New Roman"/>
          <w:sz w:val="24"/>
          <w:szCs w:val="24"/>
        </w:rPr>
        <w:t>, instructs that proof of a prima facie case combined with evidence of pretext may suffice for a jury to find discrimination. Morgan has offered such evidence across several dimensions: 1) satisfactory performance despite claims of obsolescence, 2) ageist remarks from higher-ups, 3) suspicious timing near vesting of benefits, 4) replacement by a younger employee, and 5) inconsistent financial explanations and actions. Viewed together in their entirety, these factors raise a genuine dispute of material fact on but-for causation. The credibility of Architronics’ explanations is a matter for the jury, not for the court on summary judgment</w:t>
      </w:r>
    </w:p>
    <w:p w14:paraId="00000037" w14:textId="77777777" w:rsidR="00FD306D" w:rsidRDefault="00FD306D">
      <w:pPr>
        <w:spacing w:line="240" w:lineRule="auto"/>
        <w:ind w:firstLine="720"/>
        <w:rPr>
          <w:rFonts w:ascii="Times New Roman" w:eastAsia="Times New Roman" w:hAnsi="Times New Roman" w:cs="Times New Roman"/>
          <w:sz w:val="24"/>
          <w:szCs w:val="24"/>
        </w:rPr>
      </w:pPr>
    </w:p>
    <w:p w14:paraId="00000038" w14:textId="77777777" w:rsidR="00FD306D" w:rsidRDefault="00000000">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district court erred in granting summary judgment for Architronics. Morgan established a prima facie case of age discrimination and produced substantial evidence that Architronics’ stated reasons were pretextual. Under </w:t>
      </w:r>
      <w:r>
        <w:rPr>
          <w:rFonts w:ascii="Times New Roman" w:eastAsia="Times New Roman" w:hAnsi="Times New Roman" w:cs="Times New Roman"/>
          <w:i/>
          <w:sz w:val="24"/>
          <w:szCs w:val="24"/>
        </w:rPr>
        <w:t>Reeves</w:t>
      </w:r>
      <w:r>
        <w:rPr>
          <w:rFonts w:ascii="Times New Roman" w:eastAsia="Times New Roman" w:hAnsi="Times New Roman" w:cs="Times New Roman"/>
          <w:sz w:val="24"/>
          <w:szCs w:val="24"/>
        </w:rPr>
        <w:t xml:space="preserve"> and 5th Circuit precedent, such evidence permits a jury to infer that age was the </w:t>
      </w:r>
      <w:proofErr w:type="spellStart"/>
      <w:r>
        <w:rPr>
          <w:rFonts w:ascii="Times New Roman" w:eastAsia="Times New Roman" w:hAnsi="Times New Roman" w:cs="Times New Roman"/>
          <w:sz w:val="24"/>
          <w:szCs w:val="24"/>
        </w:rPr>
        <w:t>but</w:t>
      </w:r>
      <w:proofErr w:type="spellEnd"/>
      <w:r>
        <w:rPr>
          <w:rFonts w:ascii="Times New Roman" w:eastAsia="Times New Roman" w:hAnsi="Times New Roman" w:cs="Times New Roman"/>
          <w:sz w:val="24"/>
          <w:szCs w:val="24"/>
        </w:rPr>
        <w:t>-for cause of Morgan’s termination. The case should be remanded for trial.</w:t>
      </w:r>
    </w:p>
    <w:p w14:paraId="00000039" w14:textId="77777777" w:rsidR="00FD306D" w:rsidRDefault="00FD306D">
      <w:pPr>
        <w:spacing w:line="240" w:lineRule="auto"/>
        <w:rPr>
          <w:rFonts w:ascii="Times New Roman" w:eastAsia="Times New Roman" w:hAnsi="Times New Roman" w:cs="Times New Roman"/>
          <w:sz w:val="24"/>
          <w:szCs w:val="24"/>
        </w:rPr>
      </w:pPr>
    </w:p>
    <w:p w14:paraId="0000003A" w14:textId="77777777" w:rsidR="00FD306D" w:rsidRDefault="00FD306D">
      <w:pPr>
        <w:spacing w:line="240" w:lineRule="auto"/>
        <w:rPr>
          <w:rFonts w:ascii="Times New Roman" w:eastAsia="Times New Roman" w:hAnsi="Times New Roman" w:cs="Times New Roman"/>
          <w:sz w:val="24"/>
          <w:szCs w:val="24"/>
        </w:rPr>
      </w:pPr>
    </w:p>
    <w:sectPr w:rsidR="00FD306D">
      <w:headerReference w:type="default" r:id="rId6"/>
      <w:footerReference w:type="default" r:id="rId7"/>
      <w:foot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4139A" w14:textId="77777777" w:rsidR="002B13F9" w:rsidRDefault="002B13F9">
      <w:pPr>
        <w:spacing w:line="240" w:lineRule="auto"/>
      </w:pPr>
      <w:r>
        <w:separator/>
      </w:r>
    </w:p>
  </w:endnote>
  <w:endnote w:type="continuationSeparator" w:id="0">
    <w:p w14:paraId="052314E2" w14:textId="77777777" w:rsidR="002B13F9" w:rsidRDefault="002B13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B" w14:textId="35269A15" w:rsidR="00FD306D" w:rsidRDefault="00000000">
    <w:pPr>
      <w:jc w:val="right"/>
    </w:pPr>
    <w:r>
      <w:fldChar w:fldCharType="begin"/>
    </w:r>
    <w:r>
      <w:instrText>PAGE</w:instrText>
    </w:r>
    <w:r>
      <w:fldChar w:fldCharType="separate"/>
    </w:r>
    <w:r w:rsidR="00FD056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D" w14:textId="77777777" w:rsidR="00FD306D" w:rsidRDefault="00FD30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1120F" w14:textId="77777777" w:rsidR="002B13F9" w:rsidRDefault="002B13F9">
      <w:pPr>
        <w:spacing w:line="240" w:lineRule="auto"/>
      </w:pPr>
      <w:r>
        <w:separator/>
      </w:r>
    </w:p>
  </w:footnote>
  <w:footnote w:type="continuationSeparator" w:id="0">
    <w:p w14:paraId="313EBC1F" w14:textId="77777777" w:rsidR="002B13F9" w:rsidRDefault="002B13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C" w14:textId="77777777" w:rsidR="00FD306D" w:rsidRDefault="00FD306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06D"/>
    <w:rsid w:val="002B13F9"/>
    <w:rsid w:val="008701B8"/>
    <w:rsid w:val="00FD056B"/>
    <w:rsid w:val="00FD3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BD6A"/>
  <w15:docId w15:val="{2AA2832E-A7D4-CB49-A5D4-53B8D9A1A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1163</Words>
  <Characters>6635</Characters>
  <Application>Microsoft Office Word</Application>
  <DocSecurity>0</DocSecurity>
  <Lines>55</Lines>
  <Paragraphs>15</Paragraphs>
  <ScaleCrop>false</ScaleCrop>
  <Company/>
  <LinksUpToDate>false</LinksUpToDate>
  <CharactersWithSpaces>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Anderson, Sierralynn</cp:lastModifiedBy>
  <cp:revision>2</cp:revision>
  <dcterms:created xsi:type="dcterms:W3CDTF">2025-09-26T15:28:00Z</dcterms:created>
  <dcterms:modified xsi:type="dcterms:W3CDTF">2025-09-26T15:28:00Z</dcterms:modified>
</cp:coreProperties>
</file>