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240" w:before="240" w:lineRule="auto"/>
        <w:ind w:left="0" w:firstLine="0"/>
        <w:jc w:val="center"/>
        <w:rPr>
          <w:rFonts w:ascii="Fraunces SemiBold" w:cs="Fraunces SemiBold" w:eastAsia="Fraunces SemiBold" w:hAnsi="Fraunces SemiBold"/>
          <w:sz w:val="36"/>
          <w:szCs w:val="36"/>
        </w:rPr>
      </w:pPr>
      <w:bookmarkStart w:colFirst="0" w:colLast="0" w:name="_uylr8jwanruk" w:id="0"/>
      <w:bookmarkEnd w:id="0"/>
      <w:r w:rsidDel="00000000" w:rsidR="00000000" w:rsidRPr="00000000">
        <w:rPr>
          <w:rFonts w:ascii="Fraunces SemiBold" w:cs="Fraunces SemiBold" w:eastAsia="Fraunces SemiBold" w:hAnsi="Fraunces SemiBold"/>
          <w:sz w:val="36"/>
          <w:szCs w:val="36"/>
          <w:rtl w:val="0"/>
        </w:rPr>
        <w:t xml:space="preserve">Beyond Prohibition: Governance and Access to Post-Abortion Care After Dobbs</w:t>
      </w:r>
    </w:p>
    <w:p w:rsidR="00000000" w:rsidDel="00000000" w:rsidP="00000000" w:rsidRDefault="00000000" w:rsidRPr="00000000" w14:paraId="00000002">
      <w:pPr>
        <w:pStyle w:val="Heading1"/>
        <w:spacing w:after="200" w:line="276" w:lineRule="auto"/>
        <w:rPr/>
      </w:pPr>
      <w:bookmarkStart w:colFirst="0" w:colLast="0" w:name="_jvjussr7kfnu" w:id="1"/>
      <w:bookmarkEnd w:id="1"/>
      <w:r w:rsidDel="00000000" w:rsidR="00000000" w:rsidRPr="00000000">
        <w:rPr>
          <w:rtl w:val="0"/>
        </w:rPr>
      </w:r>
    </w:p>
    <w:p w:rsidR="00000000" w:rsidDel="00000000" w:rsidP="00000000" w:rsidRDefault="00000000" w:rsidRPr="00000000" w14:paraId="00000003">
      <w:pPr>
        <w:pStyle w:val="Heading1"/>
        <w:spacing w:after="200" w:line="276" w:lineRule="auto"/>
        <w:rPr/>
      </w:pPr>
      <w:bookmarkStart w:colFirst="0" w:colLast="0" w:name="_tzz7zbuo15p1" w:id="2"/>
      <w:bookmarkEnd w:id="2"/>
      <w:r w:rsidDel="00000000" w:rsidR="00000000" w:rsidRPr="00000000">
        <w:rPr>
          <w:rtl w:val="0"/>
        </w:rPr>
        <w:t xml:space="preserve">I. Introduction: Defining Post-Abortion Care and the Regulatory Landscape</w:t>
      </w:r>
    </w:p>
    <w:p w:rsidR="00000000" w:rsidDel="00000000" w:rsidP="00000000" w:rsidRDefault="00000000" w:rsidRPr="00000000" w14:paraId="00000004">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Post-abortion care (“PAC”) refers to the medical treatment provided when a pregnancy ends and complications arise, whether the pregnancy loss was spontaneous or induced.</w:t>
      </w:r>
      <w:r w:rsidDel="00000000" w:rsidR="00000000" w:rsidRPr="00000000">
        <w:rPr>
          <w:rFonts w:ascii="Fraunces Light" w:cs="Fraunces Light" w:eastAsia="Fraunces Light" w:hAnsi="Fraunces Light"/>
          <w:vertAlign w:val="superscript"/>
        </w:rPr>
        <w:footnoteReference w:customMarkFollows="0" w:id="0"/>
      </w:r>
      <w:r w:rsidDel="00000000" w:rsidR="00000000" w:rsidRPr="00000000">
        <w:rPr>
          <w:rFonts w:ascii="Fraunces Light" w:cs="Fraunces Light" w:eastAsia="Fraunces Light" w:hAnsi="Fraunces Light"/>
          <w:rtl w:val="0"/>
        </w:rPr>
        <w:t xml:space="preserve"> Clinically, PAC includes treatment of incomplete abortion, hemorrhage, infection, retained products of conception, and related pregnancy complications.</w:t>
      </w:r>
      <w:r w:rsidDel="00000000" w:rsidR="00000000" w:rsidRPr="00000000">
        <w:rPr>
          <w:rFonts w:ascii="Fraunces Light" w:cs="Fraunces Light" w:eastAsia="Fraunces Light" w:hAnsi="Fraunces Light"/>
          <w:vertAlign w:val="superscript"/>
        </w:rPr>
        <w:footnoteReference w:customMarkFollows="0" w:id="1"/>
      </w:r>
      <w:r w:rsidDel="00000000" w:rsidR="00000000" w:rsidRPr="00000000">
        <w:rPr>
          <w:rFonts w:ascii="Fraunces Light" w:cs="Fraunces Light" w:eastAsia="Fraunces Light" w:hAnsi="Fraunces Light"/>
          <w:rtl w:val="0"/>
        </w:rPr>
        <w:t xml:space="preserve"> The same medications, procedures, and emergency interventions used in miscarriage management are also used in post-abortion care, including misoprostol, mifepristone, vacuum aspiration, and dilation and curettage procedures.</w:t>
      </w:r>
      <w:r w:rsidDel="00000000" w:rsidR="00000000" w:rsidRPr="00000000">
        <w:rPr>
          <w:rFonts w:ascii="Fraunces Light" w:cs="Fraunces Light" w:eastAsia="Fraunces Light" w:hAnsi="Fraunces Light"/>
          <w:vertAlign w:val="superscript"/>
        </w:rPr>
        <w:footnoteReference w:customMarkFollows="0" w:id="2"/>
      </w:r>
      <w:r w:rsidDel="00000000" w:rsidR="00000000" w:rsidRPr="00000000">
        <w:rPr>
          <w:rFonts w:ascii="Fraunces Light" w:cs="Fraunces Light" w:eastAsia="Fraunces Light" w:hAnsi="Fraunces Light"/>
          <w:rtl w:val="0"/>
        </w:rPr>
        <w:t xml:space="preserve"> As a result, PAC functions not as a separate category of medicine, but as part of routine emergency obstetric and gynecological care.</w:t>
      </w:r>
      <w:r w:rsidDel="00000000" w:rsidR="00000000" w:rsidRPr="00000000">
        <w:rPr>
          <w:rFonts w:ascii="Fraunces Light" w:cs="Fraunces Light" w:eastAsia="Fraunces Light" w:hAnsi="Fraunces Light"/>
          <w:vertAlign w:val="superscript"/>
        </w:rPr>
        <w:footnoteReference w:customMarkFollows="0" w:id="3"/>
      </w:r>
      <w:r w:rsidDel="00000000" w:rsidR="00000000" w:rsidRPr="00000000">
        <w:rPr>
          <w:rtl w:val="0"/>
        </w:rPr>
      </w:r>
    </w:p>
    <w:p w:rsidR="00000000" w:rsidDel="00000000" w:rsidP="00000000" w:rsidRDefault="00000000" w:rsidRPr="00000000" w14:paraId="00000005">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Federal law and public-health guidance generally treat post-abortion care as outcome-neutral medical treatment. Under the Emergency Medical Treatment and Labor Act, hospitals participating in Medicare must provide stabilizing treatment for emergency medical conditions, including complications arising from pregnancy loss.</w:t>
      </w:r>
      <w:r w:rsidDel="00000000" w:rsidR="00000000" w:rsidRPr="00000000">
        <w:rPr>
          <w:rFonts w:ascii="Fraunces Light" w:cs="Fraunces Light" w:eastAsia="Fraunces Light" w:hAnsi="Fraunces Light"/>
          <w:vertAlign w:val="superscript"/>
        </w:rPr>
        <w:footnoteReference w:customMarkFollows="0" w:id="4"/>
      </w:r>
      <w:r w:rsidDel="00000000" w:rsidR="00000000" w:rsidRPr="00000000">
        <w:rPr>
          <w:rFonts w:ascii="Fraunces Light" w:cs="Fraunces Light" w:eastAsia="Fraunces Light" w:hAnsi="Fraunces Light"/>
          <w:rtl w:val="0"/>
        </w:rPr>
        <w:t xml:space="preserve"> Medicaid likewise structures pregnancy-related coverage around pregnancy status and prior eligibility rather than the outcome of pregnancy itself.</w:t>
      </w:r>
      <w:r w:rsidDel="00000000" w:rsidR="00000000" w:rsidRPr="00000000">
        <w:rPr>
          <w:rFonts w:ascii="Fraunces Light" w:cs="Fraunces Light" w:eastAsia="Fraunces Light" w:hAnsi="Fraunces Light"/>
          <w:vertAlign w:val="superscript"/>
        </w:rPr>
        <w:footnoteReference w:customMarkFollows="0" w:id="5"/>
      </w:r>
      <w:r w:rsidDel="00000000" w:rsidR="00000000" w:rsidRPr="00000000">
        <w:rPr>
          <w:rFonts w:ascii="Fraunces Light" w:cs="Fraunces Light" w:eastAsia="Fraunces Light" w:hAnsi="Fraunces Light"/>
          <w:rtl w:val="0"/>
        </w:rPr>
        <w:t xml:space="preserve"> The federal postpartum coverage framework, including the twelve-month extension authorized through the American Rescue Plan Act (“ARPA”), extends coverage without distinguishing among live birth, miscarriage, or abortion.</w:t>
      </w:r>
      <w:r w:rsidDel="00000000" w:rsidR="00000000" w:rsidRPr="00000000">
        <w:rPr>
          <w:rFonts w:ascii="Fraunces Light" w:cs="Fraunces Light" w:eastAsia="Fraunces Light" w:hAnsi="Fraunces Light"/>
          <w:vertAlign w:val="superscript"/>
        </w:rPr>
        <w:footnoteReference w:customMarkFollows="0" w:id="6"/>
      </w:r>
      <w:r w:rsidDel="00000000" w:rsidR="00000000" w:rsidRPr="00000000">
        <w:rPr>
          <w:rFonts w:ascii="Fraunces Light" w:cs="Fraunces Light" w:eastAsia="Fraunces Light" w:hAnsi="Fraunces Light"/>
          <w:rtl w:val="0"/>
        </w:rPr>
        <w:t xml:space="preserve"> International public-health authorities similarly identify PAC as an essential health service that must remain available regardless of the legal status of abortion.</w:t>
      </w:r>
      <w:r w:rsidDel="00000000" w:rsidR="00000000" w:rsidRPr="00000000">
        <w:rPr>
          <w:rFonts w:ascii="Fraunces Light" w:cs="Fraunces Light" w:eastAsia="Fraunces Light" w:hAnsi="Fraunces Light"/>
          <w:vertAlign w:val="superscript"/>
        </w:rPr>
        <w:footnoteReference w:customMarkFollows="0" w:id="7"/>
      </w:r>
      <w:r w:rsidDel="00000000" w:rsidR="00000000" w:rsidRPr="00000000">
        <w:rPr>
          <w:rtl w:val="0"/>
        </w:rPr>
      </w:r>
    </w:p>
    <w:p w:rsidR="00000000" w:rsidDel="00000000" w:rsidP="00000000" w:rsidRDefault="00000000" w:rsidRPr="00000000" w14:paraId="00000006">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 outcome-neutral structure of these medical and insurance foundations creates tension when states attempt to attach legal significance to pregnancy outcomes within broader abortion-regulatory regimes. Following </w:t>
      </w:r>
      <w:r w:rsidDel="00000000" w:rsidR="00000000" w:rsidRPr="00000000">
        <w:rPr>
          <w:rFonts w:ascii="Fraunces Light" w:cs="Fraunces Light" w:eastAsia="Fraunces Light" w:hAnsi="Fraunces Light"/>
          <w:i w:val="1"/>
          <w:iCs w:val="1"/>
          <w:rtl w:val="0"/>
        </w:rPr>
        <w:t xml:space="preserve">Dobbs v. Jackson Women’s Health Organization</w:t>
      </w:r>
      <w:r w:rsidDel="00000000" w:rsidR="00000000" w:rsidRPr="00000000">
        <w:rPr>
          <w:rFonts w:ascii="Fraunces Light" w:cs="Fraunces Light" w:eastAsia="Fraunces Light" w:hAnsi="Fraunces Light"/>
          <w:rtl w:val="0"/>
        </w:rPr>
        <w:t xml:space="preserve">, reproductive-health regulation increasingly operates through administrative and regulatory mechanisms surrounding health-care delivery rather than through direct criminal prohibition alone.</w:t>
      </w:r>
      <w:r w:rsidDel="00000000" w:rsidR="00000000" w:rsidRPr="00000000">
        <w:rPr>
          <w:rFonts w:ascii="Fraunces Light" w:cs="Fraunces Light" w:eastAsia="Fraunces Light" w:hAnsi="Fraunces Light"/>
          <w:vertAlign w:val="superscript"/>
        </w:rPr>
        <w:footnoteReference w:customMarkFollows="0" w:id="8"/>
      </w:r>
      <w:r w:rsidDel="00000000" w:rsidR="00000000" w:rsidRPr="00000000">
        <w:rPr>
          <w:rFonts w:ascii="Fraunces Light" w:cs="Fraunces Light" w:eastAsia="Fraunces Light" w:hAnsi="Fraunces Light"/>
          <w:rtl w:val="0"/>
        </w:rPr>
        <w:t xml:space="preserve"> States have adopted differing approaches affecting post-abortion care, including pregnancy-outcome classifications, provider-attestation requirements, and enforcement guidelines generating uncertainty regarding permissible emergency treatment.</w:t>
      </w:r>
      <w:r w:rsidDel="00000000" w:rsidR="00000000" w:rsidRPr="00000000">
        <w:rPr>
          <w:rFonts w:ascii="Fraunces Light" w:cs="Fraunces Light" w:eastAsia="Fraunces Light" w:hAnsi="Fraunces Light"/>
          <w:vertAlign w:val="superscript"/>
        </w:rPr>
        <w:footnoteReference w:customMarkFollows="0" w:id="9"/>
      </w:r>
      <w:r w:rsidDel="00000000" w:rsidR="00000000" w:rsidRPr="00000000">
        <w:rPr>
          <w:rFonts w:ascii="Fraunces Light" w:cs="Fraunces Light" w:eastAsia="Fraunces Light" w:hAnsi="Fraunces Light"/>
          <w:rtl w:val="0"/>
        </w:rPr>
        <w:t xml:space="preserve"> Although post-abortion care often remains </w:t>
      </w:r>
      <w:r w:rsidDel="00000000" w:rsidR="00000000" w:rsidRPr="00000000">
        <w:rPr>
          <w:rtl w:val="0"/>
        </w:rPr>
        <w:t xml:space="preserve">officially </w:t>
      </w:r>
      <w:r w:rsidDel="00000000" w:rsidR="00000000" w:rsidRPr="00000000">
        <w:rPr>
          <w:rFonts w:ascii="Fraunces Light" w:cs="Fraunces Light" w:eastAsia="Fraunces Light" w:hAnsi="Fraunces Light"/>
          <w:rtl w:val="0"/>
        </w:rPr>
        <w:t xml:space="preserve">lawful, these legal and administrative environments can nevertheless influence how reproductive-health care is documented, administered, and accessed in practice.</w:t>
      </w:r>
      <w:r w:rsidDel="00000000" w:rsidR="00000000" w:rsidRPr="00000000">
        <w:rPr>
          <w:rFonts w:ascii="Fraunces Light" w:cs="Fraunces Light" w:eastAsia="Fraunces Light" w:hAnsi="Fraunces Light"/>
          <w:vertAlign w:val="superscript"/>
        </w:rPr>
        <w:footnoteReference w:customMarkFollows="0" w:id="10"/>
      </w:r>
      <w:r w:rsidDel="00000000" w:rsidR="00000000" w:rsidRPr="00000000">
        <w:rPr>
          <w:rtl w:val="0"/>
        </w:rPr>
      </w:r>
    </w:p>
    <w:p w:rsidR="00000000" w:rsidDel="00000000" w:rsidP="00000000" w:rsidRDefault="00000000" w:rsidRPr="00000000" w14:paraId="00000007">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This paper argues that although post-abortion care remains embedded within formally outcome-neutral systems of emergency care and public insurance, post-</w:t>
      </w:r>
      <w:r w:rsidDel="00000000" w:rsidR="00000000" w:rsidRPr="00000000">
        <w:rPr>
          <w:rFonts w:ascii="Fraunces Light" w:cs="Fraunces Light" w:eastAsia="Fraunces Light" w:hAnsi="Fraunces Light"/>
          <w:i w:val="1"/>
          <w:iCs w:val="1"/>
          <w:rtl w:val="0"/>
        </w:rPr>
        <w:t xml:space="preserve">Dobbs</w:t>
      </w:r>
      <w:r w:rsidDel="00000000" w:rsidR="00000000" w:rsidRPr="00000000">
        <w:rPr>
          <w:rFonts w:ascii="Fraunces Light" w:cs="Fraunces Light" w:eastAsia="Fraunces Light" w:hAnsi="Fraunces Light"/>
          <w:rtl w:val="0"/>
        </w:rPr>
        <w:t xml:space="preserve"> administrative and enforcement frameworks increasingly shape reproductive-health access through mechanisms operating beyond direct criminal prohibition. State eligibility rules, provider-compliance systems, enforcement environments, and administrative oversight structures may influence how post-abortion care is documented, delivered, and accessed in practice. Examining these developments through federal Medicaid law, state implementation mechanisms, and comparative international examples, this paper argues that reproductive-health governance increasingly operates through the administration of health-care systems themselves.</w:t>
      </w:r>
    </w:p>
    <w:p w:rsidR="00000000" w:rsidDel="00000000" w:rsidP="00000000" w:rsidRDefault="00000000" w:rsidRPr="00000000" w14:paraId="00000008">
      <w:pPr>
        <w:pStyle w:val="Heading1"/>
        <w:spacing w:after="200" w:line="240" w:lineRule="auto"/>
        <w:rPr/>
      </w:pPr>
      <w:bookmarkStart w:colFirst="0" w:colLast="0" w:name="_7bcxqwdm88cl" w:id="3"/>
      <w:bookmarkEnd w:id="3"/>
      <w:r w:rsidDel="00000000" w:rsidR="00000000" w:rsidRPr="00000000">
        <w:rPr>
          <w:rtl w:val="0"/>
        </w:rPr>
        <w:t xml:space="preserve">II. PAC and Postpartum Care as Ordinary Health Care</w:t>
      </w:r>
    </w:p>
    <w:p w:rsidR="00000000" w:rsidDel="00000000" w:rsidP="00000000" w:rsidRDefault="00000000" w:rsidRPr="00000000" w14:paraId="00000009">
      <w:pPr>
        <w:pStyle w:val="Heading2"/>
        <w:rPr/>
      </w:pPr>
      <w:bookmarkStart w:colFirst="0" w:colLast="0" w:name="_9idos3uua035" w:id="4"/>
      <w:bookmarkEnd w:id="4"/>
      <w:r w:rsidDel="00000000" w:rsidR="00000000" w:rsidRPr="00000000">
        <w:rPr>
          <w:rtl w:val="0"/>
        </w:rPr>
        <w:t xml:space="preserve">A. PAC Within Emergency and Obstetric Care Systems</w:t>
      </w:r>
    </w:p>
    <w:p w:rsidR="00000000" w:rsidDel="00000000" w:rsidP="00000000" w:rsidRDefault="00000000" w:rsidRPr="00000000" w14:paraId="0000000A">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Post-abortion care (“PAC”) is delivered within the same emergency and obstetric care systems that treat other pregnancy-related complications. Patients experiencing miscarriage, incomplete abortion, or related conditions frequently present to hospital emergency departments with acute symptoms such as severe bleeding, abdominal pain, fever, or signs of infection.</w:t>
      </w:r>
      <w:r w:rsidDel="00000000" w:rsidR="00000000" w:rsidRPr="00000000">
        <w:rPr>
          <w:rFonts w:ascii="Fraunces Light" w:cs="Fraunces Light" w:eastAsia="Fraunces Light" w:hAnsi="Fraunces Light"/>
          <w:vertAlign w:val="superscript"/>
        </w:rPr>
        <w:footnoteReference w:customMarkFollows="0" w:id="11"/>
      </w:r>
      <w:r w:rsidDel="00000000" w:rsidR="00000000" w:rsidRPr="00000000">
        <w:rPr>
          <w:rFonts w:ascii="Fraunces Light" w:cs="Fraunces Light" w:eastAsia="Fraunces Light" w:hAnsi="Fraunces Light"/>
          <w:rtl w:val="0"/>
        </w:rPr>
        <w:t xml:space="preserve"> In these circumstances, treatment is governed by federal emergency-care obligations.</w:t>
      </w:r>
    </w:p>
    <w:p w:rsidR="00000000" w:rsidDel="00000000" w:rsidP="00000000" w:rsidRDefault="00000000" w:rsidRPr="00000000" w14:paraId="0000000B">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 Emergency Medical Treatment and Labor Act (“EMTALA”) requires hospitals participating in Medicare to provide medical screening examinations and stabilizing treatment for patients presenting with emergency medical conditions.</w:t>
      </w:r>
      <w:r w:rsidDel="00000000" w:rsidR="00000000" w:rsidRPr="00000000">
        <w:rPr>
          <w:rFonts w:ascii="Fraunces Light" w:cs="Fraunces Light" w:eastAsia="Fraunces Light" w:hAnsi="Fraunces Light"/>
          <w:vertAlign w:val="superscript"/>
        </w:rPr>
        <w:footnoteReference w:customMarkFollows="0" w:id="12"/>
      </w:r>
      <w:r w:rsidDel="00000000" w:rsidR="00000000" w:rsidRPr="00000000">
        <w:rPr>
          <w:rFonts w:ascii="Fraunces Light" w:cs="Fraunces Light" w:eastAsia="Fraunces Light" w:hAnsi="Fraunces Light"/>
          <w:rtl w:val="0"/>
        </w:rPr>
        <w:t xml:space="preserve"> An emergency medical condition is defined as one involving “acute symptoms. . . such that the absence of immediate medical attention” could place the patient’s health in “serious jeopardy” or result in “serious impairment to bodily functions.”</w:t>
      </w:r>
      <w:r w:rsidDel="00000000" w:rsidR="00000000" w:rsidRPr="00000000">
        <w:rPr>
          <w:rFonts w:ascii="Fraunces Light" w:cs="Fraunces Light" w:eastAsia="Fraunces Light" w:hAnsi="Fraunces Light"/>
          <w:vertAlign w:val="superscript"/>
        </w:rPr>
        <w:footnoteReference w:customMarkFollows="0" w:id="13"/>
      </w:r>
      <w:r w:rsidDel="00000000" w:rsidR="00000000" w:rsidRPr="00000000">
        <w:rPr>
          <w:rFonts w:ascii="Fraunces Light" w:cs="Fraunces Light" w:eastAsia="Fraunces Light" w:hAnsi="Fraunces Light"/>
          <w:rtl w:val="0"/>
        </w:rPr>
        <w:t xml:space="preserve"> Complications of pregnancy loss, including hemorrhage, infection, and retained products of conception, fall squarely within this definition.</w:t>
      </w:r>
      <w:r w:rsidDel="00000000" w:rsidR="00000000" w:rsidRPr="00000000">
        <w:rPr>
          <w:rFonts w:ascii="Fraunces Light" w:cs="Fraunces Light" w:eastAsia="Fraunces Light" w:hAnsi="Fraunces Light"/>
          <w:vertAlign w:val="superscript"/>
        </w:rPr>
        <w:footnoteReference w:customMarkFollows="0" w:id="14"/>
      </w:r>
      <w:r w:rsidDel="00000000" w:rsidR="00000000" w:rsidRPr="00000000">
        <w:rPr>
          <w:rtl w:val="0"/>
        </w:rPr>
      </w:r>
    </w:p>
    <w:p w:rsidR="00000000" w:rsidDel="00000000" w:rsidP="00000000" w:rsidRDefault="00000000" w:rsidRPr="00000000" w14:paraId="0000000C">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Because EMTALA focuses exclusively on the patient’s clinical condition, it does not permit providers to withhold treatment based on the legal context of a pregnancy outcome.</w:t>
      </w:r>
      <w:r w:rsidDel="00000000" w:rsidR="00000000" w:rsidRPr="00000000">
        <w:rPr>
          <w:rFonts w:ascii="Fraunces Light" w:cs="Fraunces Light" w:eastAsia="Fraunces Light" w:hAnsi="Fraunces Light"/>
          <w:vertAlign w:val="superscript"/>
        </w:rPr>
        <w:footnoteReference w:customMarkFollows="0" w:id="15"/>
      </w:r>
      <w:r w:rsidDel="00000000" w:rsidR="00000000" w:rsidRPr="00000000">
        <w:rPr>
          <w:rFonts w:ascii="Fraunces Light" w:cs="Fraunces Light" w:eastAsia="Fraunces Light" w:hAnsi="Fraunces Light"/>
          <w:rtl w:val="0"/>
        </w:rPr>
        <w:t xml:space="preserve"> Federal guidance further emphasizes that hospitals must stabilize patients regardless of the circumstances giving rise to the emergency condition.</w:t>
      </w:r>
      <w:r w:rsidDel="00000000" w:rsidR="00000000" w:rsidRPr="00000000">
        <w:rPr>
          <w:rFonts w:ascii="Fraunces Light" w:cs="Fraunces Light" w:eastAsia="Fraunces Light" w:hAnsi="Fraunces Light"/>
          <w:vertAlign w:val="superscript"/>
        </w:rPr>
        <w:footnoteReference w:customMarkFollows="0" w:id="16"/>
      </w:r>
      <w:r w:rsidDel="00000000" w:rsidR="00000000" w:rsidRPr="00000000">
        <w:rPr>
          <w:rFonts w:ascii="Fraunces Light" w:cs="Fraunces Light" w:eastAsia="Fraunces Light" w:hAnsi="Fraunces Light"/>
          <w:rtl w:val="0"/>
        </w:rPr>
        <w:t xml:space="preserve"> PAC is therefore governed by the same stabilization requirements that apply to other emergency medical conditions.</w:t>
      </w:r>
    </w:p>
    <w:p w:rsidR="00000000" w:rsidDel="00000000" w:rsidP="00000000" w:rsidRDefault="00000000" w:rsidRPr="00000000" w14:paraId="0000000D">
      <w:pPr>
        <w:pStyle w:val="Heading2"/>
        <w:rPr/>
      </w:pPr>
      <w:bookmarkStart w:colFirst="0" w:colLast="0" w:name="_gzb0ym8d9gt4" w:id="5"/>
      <w:bookmarkEnd w:id="5"/>
      <w:r w:rsidDel="00000000" w:rsidR="00000000" w:rsidRPr="00000000">
        <w:rPr>
          <w:rtl w:val="0"/>
        </w:rPr>
        <w:t xml:space="preserve">B. Clinical Equivalence and Standard Practice</w:t>
      </w:r>
    </w:p>
    <w:p w:rsidR="00000000" w:rsidDel="00000000" w:rsidP="00000000" w:rsidRDefault="00000000" w:rsidRPr="00000000" w14:paraId="0000000E">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Clinical management of pregnancy-related complications is well established within obstetric and gynecological practice. Professional guidelines identify the treatment of early pregnancy loss and incomplete abortion as routine components of reproductive health care.</w:t>
      </w:r>
      <w:r w:rsidDel="00000000" w:rsidR="00000000" w:rsidRPr="00000000">
        <w:rPr>
          <w:rFonts w:ascii="Fraunces Light" w:cs="Fraunces Light" w:eastAsia="Fraunces Light" w:hAnsi="Fraunces Light"/>
          <w:vertAlign w:val="superscript"/>
        </w:rPr>
        <w:footnoteReference w:customMarkFollows="0" w:id="17"/>
      </w:r>
      <w:r w:rsidDel="00000000" w:rsidR="00000000" w:rsidRPr="00000000">
        <w:rPr>
          <w:rFonts w:ascii="Fraunces Light" w:cs="Fraunces Light" w:eastAsia="Fraunces Light" w:hAnsi="Fraunces Light"/>
          <w:rtl w:val="0"/>
        </w:rPr>
        <w:t xml:space="preserve"> Management options include expectant management, medication management with agents such as misoprostol or mifepristone, and surgical evacuation through procedures such as vacuum aspiration or dilation and curettage.</w:t>
      </w:r>
      <w:r w:rsidDel="00000000" w:rsidR="00000000" w:rsidRPr="00000000">
        <w:rPr>
          <w:rFonts w:ascii="Fraunces Light" w:cs="Fraunces Light" w:eastAsia="Fraunces Light" w:hAnsi="Fraunces Light"/>
          <w:vertAlign w:val="superscript"/>
        </w:rPr>
        <w:footnoteReference w:customMarkFollows="0" w:id="18"/>
      </w:r>
      <w:r w:rsidDel="00000000" w:rsidR="00000000" w:rsidRPr="00000000">
        <w:rPr>
          <w:rtl w:val="0"/>
        </w:rPr>
      </w:r>
    </w:p>
    <w:p w:rsidR="00000000" w:rsidDel="00000000" w:rsidP="00000000" w:rsidRDefault="00000000" w:rsidRPr="00000000" w14:paraId="0000000F">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 same medications and procedures are used regardless of whether a pregnancy ended spontaneously or through abortion.</w:t>
      </w:r>
      <w:r w:rsidDel="00000000" w:rsidR="00000000" w:rsidRPr="00000000">
        <w:rPr>
          <w:rFonts w:ascii="Fraunces Light" w:cs="Fraunces Light" w:eastAsia="Fraunces Light" w:hAnsi="Fraunces Light"/>
          <w:vertAlign w:val="superscript"/>
        </w:rPr>
        <w:footnoteReference w:customMarkFollows="0" w:id="19"/>
      </w:r>
      <w:r w:rsidDel="00000000" w:rsidR="00000000" w:rsidRPr="00000000">
        <w:rPr>
          <w:rFonts w:ascii="Fraunces Light" w:cs="Fraunces Light" w:eastAsia="Fraunces Light" w:hAnsi="Fraunces Light"/>
          <w:rtl w:val="0"/>
        </w:rPr>
        <w:t xml:space="preserve"> As a result, the clinical tools used in PAC do not vary based on the cause of pregnancy loss. Providers respond to symptoms, clinical findings, and patient needs rather than attempting to determine the legal classification of the underlying event.</w:t>
      </w:r>
      <w:r w:rsidDel="00000000" w:rsidR="00000000" w:rsidRPr="00000000">
        <w:rPr>
          <w:rFonts w:ascii="Fraunces Light" w:cs="Fraunces Light" w:eastAsia="Fraunces Light" w:hAnsi="Fraunces Light"/>
          <w:vertAlign w:val="superscript"/>
        </w:rPr>
        <w:footnoteReference w:customMarkFollows="0" w:id="20"/>
      </w:r>
      <w:r w:rsidDel="00000000" w:rsidR="00000000" w:rsidRPr="00000000">
        <w:rPr>
          <w:rFonts w:ascii="Fraunces Light" w:cs="Fraunces Light" w:eastAsia="Fraunces Light" w:hAnsi="Fraunces Light"/>
          <w:rtl w:val="0"/>
        </w:rPr>
        <w:t xml:space="preserve"> International public health authorities similarly treat PAC as a standard element of reproductive health care. The World Health Organization (“WHO”) identifies PAC as an essential service and emphasizes that treatment must be available irrespective of abortion legality.</w:t>
      </w:r>
      <w:r w:rsidDel="00000000" w:rsidR="00000000" w:rsidRPr="00000000">
        <w:rPr>
          <w:rFonts w:ascii="Fraunces Light" w:cs="Fraunces Light" w:eastAsia="Fraunces Light" w:hAnsi="Fraunces Light"/>
          <w:vertAlign w:val="superscript"/>
        </w:rPr>
        <w:footnoteReference w:customMarkFollows="0" w:id="21"/>
      </w:r>
      <w:r w:rsidDel="00000000" w:rsidR="00000000" w:rsidRPr="00000000">
        <w:rPr>
          <w:rFonts w:ascii="Fraunces Light" w:cs="Fraunces Light" w:eastAsia="Fraunces Light" w:hAnsi="Fraunces Light"/>
          <w:rtl w:val="0"/>
        </w:rPr>
        <w:t xml:space="preserve"> From a clinical perspective, PAC is therefore not a specialized or legally distinct form of medicine, but part of routine emergency and obstetric care.</w:t>
      </w:r>
    </w:p>
    <w:p w:rsidR="00000000" w:rsidDel="00000000" w:rsidP="00000000" w:rsidRDefault="00000000" w:rsidRPr="00000000" w14:paraId="00000010">
      <w:pPr>
        <w:pStyle w:val="Heading2"/>
        <w:spacing w:after="200" w:line="240" w:lineRule="auto"/>
        <w:rPr/>
      </w:pPr>
      <w:bookmarkStart w:colFirst="0" w:colLast="0" w:name="_g8sajbcq3pcg" w:id="6"/>
      <w:bookmarkEnd w:id="6"/>
      <w:r w:rsidDel="00000000" w:rsidR="00000000" w:rsidRPr="00000000">
        <w:rPr>
          <w:rtl w:val="0"/>
        </w:rPr>
        <w:t xml:space="preserve">C. Continuity of Care and the Postpartum Coverage Framework</w:t>
      </w:r>
    </w:p>
    <w:p w:rsidR="00000000" w:rsidDel="00000000" w:rsidP="00000000" w:rsidRDefault="00000000" w:rsidRPr="00000000" w14:paraId="00000011">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Post-abortion care also operates within broader systems of reproductive and postpartum health care. Treatment of pregnancy-loss complications often extends beyond initial emergency intervention and includes follow-up monitoring, management of ongoing symptoms, and access to related health services.</w:t>
      </w:r>
      <w:r w:rsidDel="00000000" w:rsidR="00000000" w:rsidRPr="00000000">
        <w:rPr>
          <w:rFonts w:ascii="Fraunces Light" w:cs="Fraunces Light" w:eastAsia="Fraunces Light" w:hAnsi="Fraunces Light"/>
          <w:vertAlign w:val="superscript"/>
        </w:rPr>
        <w:footnoteReference w:customMarkFollows="0" w:id="22"/>
      </w:r>
      <w:r w:rsidDel="00000000" w:rsidR="00000000" w:rsidRPr="00000000">
        <w:rPr>
          <w:rFonts w:ascii="Fraunces Light" w:cs="Fraunces Light" w:eastAsia="Fraunces Light" w:hAnsi="Fraunces Light"/>
          <w:rtl w:val="0"/>
        </w:rPr>
        <w:t xml:space="preserve"> This continuum of care aligns with the structure of federal Medicaid postpartum coverage. Federal law requires states to provide pregnancy-related Medicaid coverage through at least sixty days postpartum and permits extension to twelve months under ARPA.</w:t>
      </w:r>
      <w:r w:rsidDel="00000000" w:rsidR="00000000" w:rsidRPr="00000000">
        <w:rPr>
          <w:rFonts w:ascii="Fraunces Light" w:cs="Fraunces Light" w:eastAsia="Fraunces Light" w:hAnsi="Fraunces Light"/>
          <w:vertAlign w:val="superscript"/>
        </w:rPr>
        <w:footnoteReference w:customMarkFollows="0" w:id="23"/>
      </w:r>
      <w:r w:rsidDel="00000000" w:rsidR="00000000" w:rsidRPr="00000000">
        <w:rPr>
          <w:rFonts w:ascii="Fraunces Light" w:cs="Fraunces Light" w:eastAsia="Fraunces Light" w:hAnsi="Fraunces Light"/>
          <w:rtl w:val="0"/>
        </w:rPr>
        <w:t xml:space="preserve"> These provisions recognize that pregnancy-related health needs frequently persist beyond the end of pregnancy and require continued access to care.</w:t>
      </w:r>
      <w:r w:rsidDel="00000000" w:rsidR="00000000" w:rsidRPr="00000000">
        <w:rPr>
          <w:rFonts w:ascii="Fraunces Light" w:cs="Fraunces Light" w:eastAsia="Fraunces Light" w:hAnsi="Fraunces Light"/>
          <w:vertAlign w:val="superscript"/>
        </w:rPr>
        <w:footnoteReference w:customMarkFollows="0" w:id="24"/>
      </w:r>
      <w:r w:rsidDel="00000000" w:rsidR="00000000" w:rsidRPr="00000000">
        <w:rPr>
          <w:rFonts w:ascii="Fraunces Light" w:cs="Fraunces Light" w:eastAsia="Fraunces Light" w:hAnsi="Fraunces Light"/>
          <w:rtl w:val="0"/>
        </w:rPr>
        <w:t xml:space="preserve"> Within this framework, PAC and postpartum care function as part of a continuous system rather than as isolated interventions. Emergency treatment, follow-up care, and broader postpartum services are often delivered within the same institutional settings and by the same providers.</w:t>
      </w:r>
      <w:r w:rsidDel="00000000" w:rsidR="00000000" w:rsidRPr="00000000">
        <w:rPr>
          <w:rFonts w:ascii="Fraunces Light" w:cs="Fraunces Light" w:eastAsia="Fraunces Light" w:hAnsi="Fraunces Light"/>
          <w:vertAlign w:val="superscript"/>
        </w:rPr>
        <w:footnoteReference w:customMarkFollows="0" w:id="25"/>
      </w:r>
      <w:r w:rsidDel="00000000" w:rsidR="00000000" w:rsidRPr="00000000">
        <w:rPr>
          <w:rFonts w:ascii="Fraunces Light" w:cs="Fraunces Light" w:eastAsia="Fraunces Light" w:hAnsi="Fraunces Light"/>
          <w:rtl w:val="0"/>
        </w:rPr>
        <w:t xml:space="preserve"> Understanding PAC as part of ordinary health care is therefore essential to evaluating how legal and administrative structures affect access to that care.</w:t>
      </w:r>
    </w:p>
    <w:p w:rsidR="00000000" w:rsidDel="00000000" w:rsidP="00000000" w:rsidRDefault="00000000" w:rsidRPr="00000000" w14:paraId="00000012">
      <w:pPr>
        <w:pStyle w:val="Heading2"/>
        <w:spacing w:after="200" w:line="240" w:lineRule="auto"/>
        <w:rPr/>
      </w:pPr>
      <w:bookmarkStart w:colFirst="0" w:colLast="0" w:name="_rqys7o1bhtya" w:id="7"/>
      <w:bookmarkEnd w:id="7"/>
      <w:r w:rsidDel="00000000" w:rsidR="00000000" w:rsidRPr="00000000">
        <w:rPr>
          <w:rtl w:val="0"/>
        </w:rPr>
        <w:t xml:space="preserve">D. Confidentiality and Clinical Discretion as Structural Safeguards</w:t>
      </w:r>
    </w:p>
    <w:p w:rsidR="00000000" w:rsidDel="00000000" w:rsidP="00000000" w:rsidRDefault="00000000" w:rsidRPr="00000000" w14:paraId="00000013">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Confidentiality and clinical discretion play a central role in ensuring access to PAC. Effective treatment of pregnancy-related conditions depends on patient trust and the ability of providers to exercise independent medical judgment.</w:t>
      </w:r>
      <w:r w:rsidDel="00000000" w:rsidR="00000000" w:rsidRPr="00000000">
        <w:rPr>
          <w:rFonts w:ascii="Fraunces Light" w:cs="Fraunces Light" w:eastAsia="Fraunces Light" w:hAnsi="Fraunces Light"/>
          <w:vertAlign w:val="superscript"/>
        </w:rPr>
        <w:footnoteReference w:customMarkFollows="0" w:id="26"/>
      </w:r>
      <w:r w:rsidDel="00000000" w:rsidR="00000000" w:rsidRPr="00000000">
        <w:rPr>
          <w:rFonts w:ascii="Fraunces Light" w:cs="Fraunces Light" w:eastAsia="Fraunces Light" w:hAnsi="Fraunces Light"/>
          <w:rtl w:val="0"/>
        </w:rPr>
        <w:t xml:space="preserve"> Medical and public health standards emphasize the importance of confidentiality in reproductive health care. WHO identifies non-reporting and protection of patient information as essential components of effective PAC warning that surveillance or reporting requirements can deter individuals from seeking treatment.</w:t>
      </w:r>
      <w:r w:rsidDel="00000000" w:rsidR="00000000" w:rsidRPr="00000000">
        <w:rPr>
          <w:rFonts w:ascii="Fraunces Light" w:cs="Fraunces Light" w:eastAsia="Fraunces Light" w:hAnsi="Fraunces Light"/>
          <w:vertAlign w:val="superscript"/>
        </w:rPr>
        <w:footnoteReference w:customMarkFollows="0" w:id="27"/>
      </w:r>
      <w:r w:rsidDel="00000000" w:rsidR="00000000" w:rsidRPr="00000000">
        <w:rPr>
          <w:rFonts w:ascii="Fraunces Light" w:cs="Fraunces Light" w:eastAsia="Fraunces Light" w:hAnsi="Fraunces Light"/>
          <w:rtl w:val="0"/>
        </w:rPr>
        <w:t xml:space="preserve"> Professional ethics similarly require providers to deliver non-judgmental care and protect patient privacy.</w:t>
      </w:r>
      <w:r w:rsidDel="00000000" w:rsidR="00000000" w:rsidRPr="00000000">
        <w:rPr>
          <w:rFonts w:ascii="Fraunces Light" w:cs="Fraunces Light" w:eastAsia="Fraunces Light" w:hAnsi="Fraunces Light"/>
          <w:vertAlign w:val="superscript"/>
        </w:rPr>
        <w:footnoteReference w:customMarkFollows="0" w:id="28"/>
      </w:r>
      <w:r w:rsidDel="00000000" w:rsidR="00000000" w:rsidRPr="00000000">
        <w:rPr>
          <w:rtl w:val="0"/>
        </w:rPr>
      </w:r>
    </w:p>
    <w:p w:rsidR="00000000" w:rsidDel="00000000" w:rsidP="00000000" w:rsidRDefault="00000000" w:rsidRPr="00000000" w14:paraId="00000014">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Existing </w:t>
      </w:r>
      <w:r w:rsidDel="00000000" w:rsidR="00000000" w:rsidRPr="00000000">
        <w:rPr>
          <w:rtl w:val="0"/>
        </w:rPr>
        <w:t xml:space="preserve">l</w:t>
      </w:r>
      <w:r w:rsidDel="00000000" w:rsidR="00000000" w:rsidRPr="00000000">
        <w:rPr>
          <w:rFonts w:ascii="Fraunces Light" w:cs="Fraunces Light" w:eastAsia="Fraunces Light" w:hAnsi="Fraunces Light"/>
          <w:rtl w:val="0"/>
        </w:rPr>
        <w:t xml:space="preserve">egal structures partially support these principles. The Health Insurance Portability and Accountability Act (“HIPAA”) establishes baseline protections for patient information, though it permits certain disclosures in law enforcement contexts.</w:t>
      </w:r>
      <w:r w:rsidDel="00000000" w:rsidR="00000000" w:rsidRPr="00000000">
        <w:rPr>
          <w:rFonts w:ascii="Fraunces Light" w:cs="Fraunces Light" w:eastAsia="Fraunces Light" w:hAnsi="Fraunces Light"/>
          <w:vertAlign w:val="superscript"/>
        </w:rPr>
        <w:footnoteReference w:customMarkFollows="0" w:id="29"/>
      </w:r>
      <w:r w:rsidDel="00000000" w:rsidR="00000000" w:rsidRPr="00000000">
        <w:rPr>
          <w:rFonts w:ascii="Fraunces Light" w:cs="Fraunces Light" w:eastAsia="Fraunces Light" w:hAnsi="Fraunces Light"/>
          <w:rtl w:val="0"/>
        </w:rPr>
        <w:t xml:space="preserve"> At the same time, courts have recognized that legal uncertainty in abortion regulation can influence provider behavior. Where statutory standards are ambiguous or enforcement risks are unclear, providers may adopt more cautious treatment approaches to avoid potential liability.</w:t>
      </w:r>
      <w:r w:rsidDel="00000000" w:rsidR="00000000" w:rsidRPr="00000000">
        <w:rPr>
          <w:rFonts w:ascii="Fraunces Light" w:cs="Fraunces Light" w:eastAsia="Fraunces Light" w:hAnsi="Fraunces Light"/>
          <w:vertAlign w:val="superscript"/>
        </w:rPr>
        <w:footnoteReference w:customMarkFollows="0" w:id="30"/>
      </w:r>
      <w:r w:rsidDel="00000000" w:rsidR="00000000" w:rsidRPr="00000000">
        <w:rPr>
          <w:rFonts w:ascii="Fraunces Light" w:cs="Fraunces Light" w:eastAsia="Fraunces Light" w:hAnsi="Fraunces Light"/>
          <w:rtl w:val="0"/>
        </w:rPr>
        <w:t xml:space="preserve"> In emergency settings, these dynamics are particularly significant. Physicians must often act quickly based on incomplete information, and the clinical presentation of pregnancy-related complications does not reveal whether a pregnancy ended spontaneously or through abortion.</w:t>
      </w:r>
      <w:r w:rsidDel="00000000" w:rsidR="00000000" w:rsidRPr="00000000">
        <w:rPr>
          <w:rFonts w:ascii="Fraunces Light" w:cs="Fraunces Light" w:eastAsia="Fraunces Light" w:hAnsi="Fraunces Light"/>
          <w:vertAlign w:val="superscript"/>
        </w:rPr>
        <w:footnoteReference w:customMarkFollows="0" w:id="31"/>
      </w:r>
      <w:r w:rsidDel="00000000" w:rsidR="00000000" w:rsidRPr="00000000">
        <w:rPr>
          <w:rFonts w:ascii="Fraunces Light" w:cs="Fraunces Light" w:eastAsia="Fraunces Light" w:hAnsi="Fraunces Light"/>
          <w:rtl w:val="0"/>
        </w:rPr>
        <w:t xml:space="preserve"> Preserving clinical discretion and patient confidentiality is therefore essential to ensuring timely and effective care.</w:t>
      </w:r>
    </w:p>
    <w:p w:rsidR="00000000" w:rsidDel="00000000" w:rsidP="00000000" w:rsidRDefault="00000000" w:rsidRPr="00000000" w14:paraId="00000015">
      <w:pPr>
        <w:pStyle w:val="Heading1"/>
        <w:spacing w:after="200" w:line="240" w:lineRule="auto"/>
        <w:rPr/>
      </w:pPr>
      <w:bookmarkStart w:colFirst="0" w:colLast="0" w:name="_phuuit3ymv3r" w:id="8"/>
      <w:bookmarkEnd w:id="8"/>
      <w:r w:rsidDel="00000000" w:rsidR="00000000" w:rsidRPr="00000000">
        <w:rPr>
          <w:rtl w:val="0"/>
        </w:rPr>
        <w:t xml:space="preserve">III. Medicaid Postpartum Coverage and Outcome-Neutral Eligibility</w:t>
      </w:r>
    </w:p>
    <w:p w:rsidR="00000000" w:rsidDel="00000000" w:rsidP="00000000" w:rsidRDefault="00000000" w:rsidRPr="00000000" w14:paraId="00000016">
      <w:pPr>
        <w:pStyle w:val="Heading2"/>
        <w:rPr/>
      </w:pPr>
      <w:bookmarkStart w:colFirst="0" w:colLast="0" w:name="_61j90uce63l0" w:id="9"/>
      <w:bookmarkEnd w:id="9"/>
      <w:r w:rsidDel="00000000" w:rsidR="00000000" w:rsidRPr="00000000">
        <w:rPr>
          <w:rtl w:val="0"/>
        </w:rPr>
        <w:t xml:space="preserve">A. Statutory Framework for Pregnancy-Related Coverage</w:t>
      </w:r>
    </w:p>
    <w:p w:rsidR="00000000" w:rsidDel="00000000" w:rsidP="00000000" w:rsidRDefault="00000000" w:rsidRPr="00000000" w14:paraId="00000017">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Medicaid provides health coverage to eligible low-income individuals through a cooperative federal–state program governed by federal statute and implemented by state agencies.</w:t>
      </w:r>
      <w:r w:rsidDel="00000000" w:rsidR="00000000" w:rsidRPr="00000000">
        <w:rPr>
          <w:rFonts w:ascii="Fraunces Light" w:cs="Fraunces Light" w:eastAsia="Fraunces Light" w:hAnsi="Fraunces Light"/>
          <w:vertAlign w:val="superscript"/>
        </w:rPr>
        <w:footnoteReference w:customMarkFollows="0" w:id="32"/>
      </w:r>
      <w:r w:rsidDel="00000000" w:rsidR="00000000" w:rsidRPr="00000000">
        <w:rPr>
          <w:rFonts w:ascii="Fraunces Light" w:cs="Fraunces Light" w:eastAsia="Fraunces Light" w:hAnsi="Fraunces Light"/>
          <w:rtl w:val="0"/>
        </w:rPr>
        <w:t xml:space="preserve"> Within this framework, Congress has established specific eligibility categories for individuals who are pregnant and for those in the postpartum period.</w:t>
      </w:r>
      <w:r w:rsidDel="00000000" w:rsidR="00000000" w:rsidRPr="00000000">
        <w:rPr>
          <w:rFonts w:ascii="Fraunces Light" w:cs="Fraunces Light" w:eastAsia="Fraunces Light" w:hAnsi="Fraunces Light"/>
          <w:vertAlign w:val="superscript"/>
        </w:rPr>
        <w:footnoteReference w:customMarkFollows="0" w:id="33"/>
      </w:r>
      <w:r w:rsidDel="00000000" w:rsidR="00000000" w:rsidRPr="00000000">
        <w:rPr>
          <w:rFonts w:ascii="Fraunces Light" w:cs="Fraunces Light" w:eastAsia="Fraunces Light" w:hAnsi="Fraunces Light"/>
          <w:rtl w:val="0"/>
        </w:rPr>
        <w:t xml:space="preserve"> Federal law requires states to provide Medicaid coverage to individuals who are pregnant and meet applicable income and categorical eligibility requirements.</w:t>
      </w:r>
      <w:r w:rsidDel="00000000" w:rsidR="00000000" w:rsidRPr="00000000">
        <w:rPr>
          <w:rFonts w:ascii="Fraunces Light" w:cs="Fraunces Light" w:eastAsia="Fraunces Light" w:hAnsi="Fraunces Light"/>
          <w:vertAlign w:val="superscript"/>
        </w:rPr>
        <w:footnoteReference w:customMarkFollows="0" w:id="34"/>
      </w:r>
      <w:r w:rsidDel="00000000" w:rsidR="00000000" w:rsidRPr="00000000">
        <w:rPr>
          <w:rFonts w:ascii="Fraunces Light" w:cs="Fraunces Light" w:eastAsia="Fraunces Light" w:hAnsi="Fraunces Light"/>
          <w:rtl w:val="0"/>
        </w:rPr>
        <w:t xml:space="preserve"> This coverage extends through pregnancy and continues for at least sixty days following the end of pregnancy.</w:t>
      </w:r>
      <w:r w:rsidDel="00000000" w:rsidR="00000000" w:rsidRPr="00000000">
        <w:rPr>
          <w:rFonts w:ascii="Fraunces Light" w:cs="Fraunces Light" w:eastAsia="Fraunces Light" w:hAnsi="Fraunces Light"/>
          <w:vertAlign w:val="superscript"/>
        </w:rPr>
        <w:footnoteReference w:customMarkFollows="0" w:id="35"/>
      </w:r>
      <w:r w:rsidDel="00000000" w:rsidR="00000000" w:rsidRPr="00000000">
        <w:rPr>
          <w:rFonts w:ascii="Fraunces Light" w:cs="Fraunces Light" w:eastAsia="Fraunces Light" w:hAnsi="Fraunces Light"/>
          <w:rtl w:val="0"/>
        </w:rPr>
        <w:t xml:space="preserve"> The postpartum coverage requirement reflects a statutory recognition that pregnancy-related health needs do not end at delivery or pregnancy loss, but persist into the postpartum period.</w:t>
      </w:r>
      <w:r w:rsidDel="00000000" w:rsidR="00000000" w:rsidRPr="00000000">
        <w:rPr>
          <w:rFonts w:ascii="Fraunces Light" w:cs="Fraunces Light" w:eastAsia="Fraunces Light" w:hAnsi="Fraunces Light"/>
          <w:vertAlign w:val="superscript"/>
        </w:rPr>
        <w:footnoteReference w:customMarkFollows="0" w:id="36"/>
      </w:r>
      <w:r w:rsidDel="00000000" w:rsidR="00000000" w:rsidRPr="00000000">
        <w:rPr>
          <w:rtl w:val="0"/>
        </w:rPr>
      </w:r>
    </w:p>
    <w:p w:rsidR="00000000" w:rsidDel="00000000" w:rsidP="00000000" w:rsidRDefault="00000000" w:rsidRPr="00000000" w14:paraId="00000018">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In 2021, Congress expanded the scope of postpartum coverage through ARPA, which permits states to extend pregnancy-related Medicaid coverage to twelve months following the end of pregnancy.</w:t>
      </w:r>
      <w:r w:rsidDel="00000000" w:rsidR="00000000" w:rsidRPr="00000000">
        <w:rPr>
          <w:rFonts w:ascii="Fraunces Light" w:cs="Fraunces Light" w:eastAsia="Fraunces Light" w:hAnsi="Fraunces Light"/>
          <w:vertAlign w:val="superscript"/>
        </w:rPr>
        <w:footnoteReference w:customMarkFollows="0" w:id="37"/>
      </w:r>
      <w:r w:rsidDel="00000000" w:rsidR="00000000" w:rsidRPr="00000000">
        <w:rPr>
          <w:rFonts w:ascii="Fraunces Light" w:cs="Fraunces Light" w:eastAsia="Fraunces Light" w:hAnsi="Fraunces Light"/>
          <w:rtl w:val="0"/>
        </w:rPr>
        <w:t xml:space="preserve"> This extension operates within the same statutory outline as the sixty-day requirement, maintaining continuity of coverage without altering the underlying eligibility criteria.</w:t>
      </w:r>
      <w:r w:rsidDel="00000000" w:rsidR="00000000" w:rsidRPr="00000000">
        <w:rPr>
          <w:rFonts w:ascii="Fraunces Light" w:cs="Fraunces Light" w:eastAsia="Fraunces Light" w:hAnsi="Fraunces Light"/>
          <w:vertAlign w:val="superscript"/>
        </w:rPr>
        <w:footnoteReference w:customMarkFollows="0" w:id="38"/>
      </w:r>
      <w:r w:rsidDel="00000000" w:rsidR="00000000" w:rsidRPr="00000000">
        <w:rPr>
          <w:rFonts w:ascii="Fraunces Light" w:cs="Fraunces Light" w:eastAsia="Fraunces Light" w:hAnsi="Fraunces Light"/>
          <w:rtl w:val="0"/>
        </w:rPr>
        <w:t xml:space="preserve"> Critically, the statutory provisions governing pregnancy-related coverage do not distinguish among pregnancy outcomes. Eligibility attaches to the individual’s status as pregnant and their prior qualification for Medicaid, rather than to whether the pregnancy ends in live birth, miscarriage, or abortion.</w:t>
      </w:r>
      <w:r w:rsidDel="00000000" w:rsidR="00000000" w:rsidRPr="00000000">
        <w:rPr>
          <w:rFonts w:ascii="Fraunces Light" w:cs="Fraunces Light" w:eastAsia="Fraunces Light" w:hAnsi="Fraunces Light"/>
          <w:vertAlign w:val="superscript"/>
        </w:rPr>
        <w:footnoteReference w:customMarkFollows="0" w:id="39"/>
      </w:r>
      <w:r w:rsidDel="00000000" w:rsidR="00000000" w:rsidRPr="00000000">
        <w:rPr>
          <w:rFonts w:ascii="Fraunces Light" w:cs="Fraunces Light" w:eastAsia="Fraunces Light" w:hAnsi="Fraunces Light"/>
          <w:rtl w:val="0"/>
        </w:rPr>
        <w:t xml:space="preserve"> This structure establishes postpartum coverage as an outcome-neutral entitlement designed to ensure continuity of care during a medically vulnerable period.</w:t>
      </w:r>
      <w:r w:rsidDel="00000000" w:rsidR="00000000" w:rsidRPr="00000000">
        <w:rPr>
          <w:rFonts w:ascii="Fraunces Light" w:cs="Fraunces Light" w:eastAsia="Fraunces Light" w:hAnsi="Fraunces Light"/>
          <w:vertAlign w:val="superscript"/>
        </w:rPr>
        <w:footnoteReference w:customMarkFollows="0" w:id="40"/>
      </w:r>
      <w:r w:rsidDel="00000000" w:rsidR="00000000" w:rsidRPr="00000000">
        <w:rPr>
          <w:rtl w:val="0"/>
        </w:rPr>
      </w:r>
    </w:p>
    <w:p w:rsidR="00000000" w:rsidDel="00000000" w:rsidP="00000000" w:rsidRDefault="00000000" w:rsidRPr="00000000" w14:paraId="00000019">
      <w:pPr>
        <w:pStyle w:val="Heading2"/>
        <w:rPr/>
      </w:pPr>
      <w:bookmarkStart w:colFirst="0" w:colLast="0" w:name="_ssb4c4ya3nla" w:id="10"/>
      <w:bookmarkEnd w:id="10"/>
      <w:r w:rsidDel="00000000" w:rsidR="00000000" w:rsidRPr="00000000">
        <w:rPr>
          <w:rtl w:val="0"/>
        </w:rPr>
        <w:t xml:space="preserve">B. Federal Oversight and CMS Authority in Medicaid Design</w:t>
      </w:r>
    </w:p>
    <w:p w:rsidR="00000000" w:rsidDel="00000000" w:rsidP="00000000" w:rsidRDefault="00000000" w:rsidRPr="00000000" w14:paraId="0000001A">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Although Medicaid is administered by the states, it operates under the same federal statutory guidelines that limit state discretion in defining eligibility categories.</w:t>
      </w:r>
      <w:r w:rsidDel="00000000" w:rsidR="00000000" w:rsidRPr="00000000">
        <w:rPr>
          <w:rFonts w:ascii="Fraunces Light" w:cs="Fraunces Light" w:eastAsia="Fraunces Light" w:hAnsi="Fraunces Light"/>
          <w:vertAlign w:val="superscript"/>
        </w:rPr>
        <w:footnoteReference w:customMarkFollows="0" w:id="41"/>
      </w:r>
      <w:r w:rsidDel="00000000" w:rsidR="00000000" w:rsidRPr="00000000">
        <w:rPr>
          <w:rFonts w:ascii="Fraunces Light" w:cs="Fraunces Light" w:eastAsia="Fraunces Light" w:hAnsi="Fraunces Light"/>
          <w:rtl w:val="0"/>
        </w:rPr>
        <w:t xml:space="preserve"> States implement Medicaid programs through State Plan Amendments (“SPAs”), which must be submitted to and approved by the Centers for Medicare &amp; Medicaid Services (“CMS”).</w:t>
      </w:r>
      <w:r w:rsidDel="00000000" w:rsidR="00000000" w:rsidRPr="00000000">
        <w:rPr>
          <w:rFonts w:ascii="Fraunces Light" w:cs="Fraunces Light" w:eastAsia="Fraunces Light" w:hAnsi="Fraunces Light"/>
          <w:vertAlign w:val="superscript"/>
        </w:rPr>
        <w:footnoteReference w:customMarkFollows="0" w:id="42"/>
      </w:r>
      <w:r w:rsidDel="00000000" w:rsidR="00000000" w:rsidRPr="00000000">
        <w:rPr>
          <w:rFonts w:ascii="Fraunces Light" w:cs="Fraunces Light" w:eastAsia="Fraunces Light" w:hAnsi="Fraunces Light"/>
          <w:rtl w:val="0"/>
        </w:rPr>
        <w:t xml:space="preserve"> CMS exercises oversight authority to ensure that state Medicaid plans comply with federal requirements.</w:t>
      </w:r>
      <w:r w:rsidDel="00000000" w:rsidR="00000000" w:rsidRPr="00000000">
        <w:rPr>
          <w:rFonts w:ascii="Fraunces Light" w:cs="Fraunces Light" w:eastAsia="Fraunces Light" w:hAnsi="Fraunces Light"/>
          <w:vertAlign w:val="superscript"/>
        </w:rPr>
        <w:footnoteReference w:customMarkFollows="0" w:id="43"/>
      </w:r>
      <w:r w:rsidDel="00000000" w:rsidR="00000000" w:rsidRPr="00000000">
        <w:rPr>
          <w:rFonts w:ascii="Fraunces Light" w:cs="Fraunces Light" w:eastAsia="Fraunces Light" w:hAnsi="Fraunces Light"/>
          <w:rtl w:val="0"/>
        </w:rPr>
        <w:t xml:space="preserve"> This authority includes the power to approve or disapprove SPAs that conflict with statutory provisions governing eligibility, coverage, or administration.</w:t>
      </w:r>
      <w:r w:rsidDel="00000000" w:rsidR="00000000" w:rsidRPr="00000000">
        <w:rPr>
          <w:rFonts w:ascii="Fraunces Light" w:cs="Fraunces Light" w:eastAsia="Fraunces Light" w:hAnsi="Fraunces Light"/>
          <w:vertAlign w:val="superscript"/>
        </w:rPr>
        <w:footnoteReference w:customMarkFollows="0" w:id="44"/>
      </w:r>
      <w:r w:rsidDel="00000000" w:rsidR="00000000" w:rsidRPr="00000000">
        <w:rPr>
          <w:rFonts w:ascii="Fraunces Light" w:cs="Fraunces Light" w:eastAsia="Fraunces Light" w:hAnsi="Fraunces Light"/>
          <w:rtl w:val="0"/>
        </w:rPr>
        <w:t xml:space="preserve"> If a state fails to comply with federal requirements, CMS may take enforcement action, including withholding federal funding.</w:t>
      </w:r>
      <w:r w:rsidDel="00000000" w:rsidR="00000000" w:rsidRPr="00000000">
        <w:rPr>
          <w:rFonts w:ascii="Fraunces Light" w:cs="Fraunces Light" w:eastAsia="Fraunces Light" w:hAnsi="Fraunces Light"/>
          <w:vertAlign w:val="superscript"/>
        </w:rPr>
        <w:footnoteReference w:customMarkFollows="0" w:id="45"/>
      </w:r>
      <w:r w:rsidDel="00000000" w:rsidR="00000000" w:rsidRPr="00000000">
        <w:rPr>
          <w:rtl w:val="0"/>
        </w:rPr>
      </w:r>
    </w:p>
    <w:p w:rsidR="00000000" w:rsidDel="00000000" w:rsidP="00000000" w:rsidRDefault="00000000" w:rsidRPr="00000000" w14:paraId="0000001B">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These guidelines create a balance between state flexibility and federal control. States retain discretion in administering benefits and implementing program details, but they may not redefine federally established eligibility categories.</w:t>
      </w:r>
      <w:r w:rsidDel="00000000" w:rsidR="00000000" w:rsidRPr="00000000">
        <w:rPr>
          <w:rFonts w:ascii="Fraunces Light" w:cs="Fraunces Light" w:eastAsia="Fraunces Light" w:hAnsi="Fraunces Light"/>
          <w:vertAlign w:val="superscript"/>
        </w:rPr>
        <w:footnoteReference w:customMarkFollows="0" w:id="46"/>
      </w:r>
      <w:r w:rsidDel="00000000" w:rsidR="00000000" w:rsidRPr="00000000">
        <w:rPr>
          <w:rFonts w:ascii="Fraunces Light" w:cs="Fraunces Light" w:eastAsia="Fraunces Light" w:hAnsi="Fraunces Light"/>
          <w:rtl w:val="0"/>
        </w:rPr>
        <w:t xml:space="preserve"> In the context of pregnancy-related coverage, this means that states must operate within the outcome-neutral framework established by Congress. In its implementation of the ARPA postpartum extension, CMS guidance further reinforces this structure by emphasizing that coverage applies to individuals who were eligible for Medicaid during pregnancy and continues for a defined period following the end of pregnancy.</w:t>
      </w:r>
      <w:r w:rsidDel="00000000" w:rsidR="00000000" w:rsidRPr="00000000">
        <w:rPr>
          <w:rFonts w:ascii="Fraunces Light" w:cs="Fraunces Light" w:eastAsia="Fraunces Light" w:hAnsi="Fraunces Light"/>
          <w:vertAlign w:val="superscript"/>
        </w:rPr>
        <w:footnoteReference w:customMarkFollows="0" w:id="47"/>
      </w:r>
      <w:r w:rsidDel="00000000" w:rsidR="00000000" w:rsidRPr="00000000">
        <w:rPr>
          <w:rFonts w:ascii="Fraunces Light" w:cs="Fraunces Light" w:eastAsia="Fraunces Light" w:hAnsi="Fraunces Light"/>
          <w:rtl w:val="0"/>
        </w:rPr>
        <w:t xml:space="preserve"> The guidance does not authorize distinctions based on how the pregnancy ended, reflecting the statutory focus on continuity of care rather than outcome classification.</w:t>
      </w:r>
      <w:r w:rsidDel="00000000" w:rsidR="00000000" w:rsidRPr="00000000">
        <w:rPr>
          <w:rFonts w:ascii="Fraunces Light" w:cs="Fraunces Light" w:eastAsia="Fraunces Light" w:hAnsi="Fraunces Light"/>
          <w:vertAlign w:val="superscript"/>
        </w:rPr>
        <w:footnoteReference w:customMarkFollows="0" w:id="48"/>
      </w:r>
      <w:r w:rsidDel="00000000" w:rsidR="00000000" w:rsidRPr="00000000">
        <w:rPr>
          <w:rtl w:val="0"/>
        </w:rPr>
      </w:r>
    </w:p>
    <w:p w:rsidR="00000000" w:rsidDel="00000000" w:rsidP="00000000" w:rsidRDefault="00000000" w:rsidRPr="00000000" w14:paraId="0000001C">
      <w:pPr>
        <w:pStyle w:val="Heading2"/>
        <w:rPr/>
      </w:pPr>
      <w:bookmarkStart w:colFirst="0" w:colLast="0" w:name="_t3kxfzx3ava2" w:id="11"/>
      <w:bookmarkEnd w:id="11"/>
      <w:r w:rsidDel="00000000" w:rsidR="00000000" w:rsidRPr="00000000">
        <w:rPr>
          <w:rtl w:val="0"/>
        </w:rPr>
        <w:t xml:space="preserve">C. Outcome-Neutrality as a Structural Feature of Medicaid</w:t>
      </w:r>
    </w:p>
    <w:p w:rsidR="00000000" w:rsidDel="00000000" w:rsidP="00000000" w:rsidRDefault="00000000" w:rsidRPr="00000000" w14:paraId="0000001D">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 statutory structure governing postpartum Medicaid coverage reflects a deliberate design choice: eligibility is based on pregnancy status, not pregnancy outcome.</w:t>
      </w:r>
      <w:r w:rsidDel="00000000" w:rsidR="00000000" w:rsidRPr="00000000">
        <w:rPr>
          <w:rFonts w:ascii="Fraunces Light" w:cs="Fraunces Light" w:eastAsia="Fraunces Light" w:hAnsi="Fraunces Light"/>
          <w:vertAlign w:val="superscript"/>
        </w:rPr>
        <w:footnoteReference w:customMarkFollows="0" w:id="49"/>
      </w:r>
      <w:r w:rsidDel="00000000" w:rsidR="00000000" w:rsidRPr="00000000">
        <w:rPr>
          <w:rFonts w:ascii="Fraunces Light" w:cs="Fraunces Light" w:eastAsia="Fraunces Light" w:hAnsi="Fraunces Light"/>
          <w:rtl w:val="0"/>
        </w:rPr>
        <w:t xml:space="preserve"> This outcome-neutral structure serves both administrative and substantive purposes. From an administrative perspective, outcome-neutrality promotes uniformity and simplicity. Eligibility can be determined based on objective criteria, pregnancy status and prior enrollment, without requiring states to classify or verify how a pregnancy ended.</w:t>
      </w:r>
      <w:r w:rsidDel="00000000" w:rsidR="00000000" w:rsidRPr="00000000">
        <w:rPr>
          <w:rFonts w:ascii="Fraunces Light" w:cs="Fraunces Light" w:eastAsia="Fraunces Light" w:hAnsi="Fraunces Light"/>
          <w:vertAlign w:val="superscript"/>
        </w:rPr>
        <w:footnoteReference w:customMarkFollows="0" w:id="50"/>
      </w:r>
      <w:r w:rsidDel="00000000" w:rsidR="00000000" w:rsidRPr="00000000">
        <w:rPr>
          <w:rFonts w:ascii="Fraunces Light" w:cs="Fraunces Light" w:eastAsia="Fraunces Light" w:hAnsi="Fraunces Light"/>
          <w:rtl w:val="0"/>
        </w:rPr>
        <w:t xml:space="preserve"> This reduces administrative burden and minimizes the need for intrusive data collection.</w:t>
      </w:r>
      <w:r w:rsidDel="00000000" w:rsidR="00000000" w:rsidRPr="00000000">
        <w:rPr>
          <w:rFonts w:ascii="Fraunces Light" w:cs="Fraunces Light" w:eastAsia="Fraunces Light" w:hAnsi="Fraunces Light"/>
          <w:vertAlign w:val="superscript"/>
        </w:rPr>
        <w:footnoteReference w:customMarkFollows="0" w:id="51"/>
      </w:r>
      <w:r w:rsidDel="00000000" w:rsidR="00000000" w:rsidRPr="00000000">
        <w:rPr>
          <w:rFonts w:ascii="Fraunces Light" w:cs="Fraunces Light" w:eastAsia="Fraunces Light" w:hAnsi="Fraunces Light"/>
          <w:rtl w:val="0"/>
        </w:rPr>
        <w:t xml:space="preserve"> From a substantive perspective, outcome-neutrality ensures that individuals receive continuous coverage during a period of elevated health risk. Pregnancy-related complications may arise regardless of whether a pregnancy ends in live birth, miscarriage, or abortion.</w:t>
      </w:r>
      <w:r w:rsidDel="00000000" w:rsidR="00000000" w:rsidRPr="00000000">
        <w:rPr>
          <w:rFonts w:ascii="Fraunces Light" w:cs="Fraunces Light" w:eastAsia="Fraunces Light" w:hAnsi="Fraunces Light"/>
          <w:vertAlign w:val="superscript"/>
        </w:rPr>
        <w:footnoteReference w:customMarkFollows="0" w:id="52"/>
      </w:r>
      <w:r w:rsidDel="00000000" w:rsidR="00000000" w:rsidRPr="00000000">
        <w:rPr>
          <w:rFonts w:ascii="Fraunces Light" w:cs="Fraunces Light" w:eastAsia="Fraunces Light" w:hAnsi="Fraunces Light"/>
          <w:rtl w:val="0"/>
        </w:rPr>
        <w:t xml:space="preserve"> By avoiding outcome-based distinctions, the statutory framework supports access to necessary medical care across a range of clinical scenarios.</w:t>
      </w:r>
    </w:p>
    <w:p w:rsidR="00000000" w:rsidDel="00000000" w:rsidP="00000000" w:rsidRDefault="00000000" w:rsidRPr="00000000" w14:paraId="0000001E">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Importantly, the absence of outcome-based eligibility criteria also limits the extent to which Medicaid administration intersects with systems of surveillance or enforcement. Where eligibility does not depend on the classification of pregnancy outcomes, there is no need for administrative mechanisms to track or verify those outcomes for coverage purposes.</w:t>
      </w:r>
      <w:r w:rsidDel="00000000" w:rsidR="00000000" w:rsidRPr="00000000">
        <w:rPr>
          <w:rFonts w:ascii="Fraunces Light" w:cs="Fraunces Light" w:eastAsia="Fraunces Light" w:hAnsi="Fraunces Light"/>
          <w:vertAlign w:val="superscript"/>
        </w:rPr>
        <w:footnoteReference w:customMarkFollows="0" w:id="53"/>
      </w:r>
      <w:r w:rsidDel="00000000" w:rsidR="00000000" w:rsidRPr="00000000">
        <w:rPr>
          <w:rFonts w:ascii="Fraunces Light" w:cs="Fraunces Light" w:eastAsia="Fraunces Light" w:hAnsi="Fraunces Light"/>
          <w:rtl w:val="0"/>
        </w:rPr>
        <w:t xml:space="preserve"> This feature is central to the integrity of postpartum coverage. Outcome-neutrality functions not only as a statutory requirement, but as a structural safeguard that separates health coverage from regulatory or enforcement considerations.</w:t>
      </w:r>
    </w:p>
    <w:p w:rsidR="00000000" w:rsidDel="00000000" w:rsidP="00000000" w:rsidRDefault="00000000" w:rsidRPr="00000000" w14:paraId="0000001F">
      <w:pPr>
        <w:pStyle w:val="Heading2"/>
        <w:spacing w:after="200" w:line="240" w:lineRule="auto"/>
        <w:rPr/>
      </w:pPr>
      <w:bookmarkStart w:colFirst="0" w:colLast="0" w:name="_scao49dygxup" w:id="12"/>
      <w:bookmarkEnd w:id="12"/>
      <w:r w:rsidDel="00000000" w:rsidR="00000000" w:rsidRPr="00000000">
        <w:rPr>
          <w:rtl w:val="0"/>
        </w:rPr>
        <w:t xml:space="preserve">D. Public Health Rationale for Continuous Postpartum Coverage</w:t>
      </w:r>
    </w:p>
    <w:p w:rsidR="00000000" w:rsidDel="00000000" w:rsidP="00000000" w:rsidRDefault="00000000" w:rsidRPr="00000000" w14:paraId="00000020">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 statutory design of postpartum Medicaid coverage reflects well-established public health considerations. The postpartum period is associated with significant health risks, including complications that may arise weeks or months after the end of pregnancy.</w:t>
      </w:r>
      <w:r w:rsidDel="00000000" w:rsidR="00000000" w:rsidRPr="00000000">
        <w:rPr>
          <w:rFonts w:ascii="Fraunces Light" w:cs="Fraunces Light" w:eastAsia="Fraunces Light" w:hAnsi="Fraunces Light"/>
          <w:vertAlign w:val="superscript"/>
        </w:rPr>
        <w:footnoteReference w:customMarkFollows="0" w:id="54"/>
      </w:r>
      <w:r w:rsidDel="00000000" w:rsidR="00000000" w:rsidRPr="00000000">
        <w:rPr>
          <w:rFonts w:ascii="Fraunces Light" w:cs="Fraunces Light" w:eastAsia="Fraunces Light" w:hAnsi="Fraunces Light"/>
          <w:rtl w:val="0"/>
        </w:rPr>
        <w:t xml:space="preserve"> Continuous access to medical care during this period is therefore critical to preventing morbidity and mortality.</w:t>
      </w:r>
    </w:p>
    <w:p w:rsidR="00000000" w:rsidDel="00000000" w:rsidP="00000000" w:rsidRDefault="00000000" w:rsidRPr="00000000" w14:paraId="00000021">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Extending coverage beyond the immediate post-pregnancy period allows for ongoing monitoring, treatment of complications, and access to preventive services.</w:t>
      </w:r>
      <w:r w:rsidDel="00000000" w:rsidR="00000000" w:rsidRPr="00000000">
        <w:rPr>
          <w:rFonts w:ascii="Fraunces Light" w:cs="Fraunces Light" w:eastAsia="Fraunces Light" w:hAnsi="Fraunces Light"/>
          <w:vertAlign w:val="superscript"/>
        </w:rPr>
        <w:footnoteReference w:customMarkFollows="0" w:id="55"/>
      </w:r>
      <w:r w:rsidDel="00000000" w:rsidR="00000000" w:rsidRPr="00000000">
        <w:rPr>
          <w:rFonts w:ascii="Fraunces Light" w:cs="Fraunces Light" w:eastAsia="Fraunces Light" w:hAnsi="Fraunces Light"/>
          <w:rtl w:val="0"/>
        </w:rPr>
        <w:t xml:space="preserve"> This includes care for conditions such as infection, hemorrhage-related complications, and other pregnancy-related health issues that may not resolve immediately. The ARPA twelve-month extension further reflects a recognition that gaps in coverage can lead to delayed treatment and poorer health outcomes.</w:t>
      </w:r>
      <w:r w:rsidDel="00000000" w:rsidR="00000000" w:rsidRPr="00000000">
        <w:rPr>
          <w:rFonts w:ascii="Fraunces Light" w:cs="Fraunces Light" w:eastAsia="Fraunces Light" w:hAnsi="Fraunces Light"/>
          <w:vertAlign w:val="superscript"/>
        </w:rPr>
        <w:footnoteReference w:customMarkFollows="0" w:id="56"/>
      </w:r>
      <w:r w:rsidDel="00000000" w:rsidR="00000000" w:rsidRPr="00000000">
        <w:rPr>
          <w:rFonts w:ascii="Fraunces Light" w:cs="Fraunces Light" w:eastAsia="Fraunces Light" w:hAnsi="Fraunces Light"/>
          <w:rtl w:val="0"/>
        </w:rPr>
        <w:t xml:space="preserve"> By maintaining continuity of coverage, the statute aims to reduce disruptions in care and ensure that individuals can access necessary services throughout the postpartum period.</w:t>
      </w:r>
      <w:r w:rsidDel="00000000" w:rsidR="00000000" w:rsidRPr="00000000">
        <w:rPr>
          <w:rFonts w:ascii="Fraunces Light" w:cs="Fraunces Light" w:eastAsia="Fraunces Light" w:hAnsi="Fraunces Light"/>
          <w:vertAlign w:val="superscript"/>
        </w:rPr>
        <w:footnoteReference w:customMarkFollows="0" w:id="57"/>
      </w:r>
      <w:r w:rsidDel="00000000" w:rsidR="00000000" w:rsidRPr="00000000">
        <w:rPr>
          <w:rtl w:val="0"/>
        </w:rPr>
      </w:r>
    </w:p>
    <w:p w:rsidR="00000000" w:rsidDel="00000000" w:rsidP="00000000" w:rsidRDefault="00000000" w:rsidRPr="00000000" w14:paraId="00000022">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Within this public health framework, outcome-neutral eligibility plays a key role. Because pregnancy-related health risks are not limited to any single type of pregnancy outcome, it would undermine the goal of continuous care to condition coverage on how a pregnancy ended.</w:t>
      </w:r>
      <w:r w:rsidDel="00000000" w:rsidR="00000000" w:rsidRPr="00000000">
        <w:rPr>
          <w:rFonts w:ascii="Fraunces Light" w:cs="Fraunces Light" w:eastAsia="Fraunces Light" w:hAnsi="Fraunces Light"/>
          <w:vertAlign w:val="superscript"/>
        </w:rPr>
        <w:footnoteReference w:customMarkFollows="0" w:id="58"/>
      </w:r>
      <w:r w:rsidDel="00000000" w:rsidR="00000000" w:rsidRPr="00000000">
        <w:rPr>
          <w:rFonts w:ascii="Fraunces Light" w:cs="Fraunces Light" w:eastAsia="Fraunces Light" w:hAnsi="Fraunces Light"/>
          <w:rtl w:val="0"/>
        </w:rPr>
        <w:t xml:space="preserve"> The statutory design therefore aligns clinical reality with eligibility rules, ensuring that coverage supports medical need rather than outcome classification.</w:t>
      </w:r>
    </w:p>
    <w:p w:rsidR="00000000" w:rsidDel="00000000" w:rsidP="00000000" w:rsidRDefault="00000000" w:rsidRPr="00000000" w14:paraId="00000023">
      <w:pPr>
        <w:pStyle w:val="Heading1"/>
        <w:spacing w:after="200" w:line="240" w:lineRule="auto"/>
        <w:rPr/>
      </w:pPr>
      <w:bookmarkStart w:colFirst="0" w:colLast="0" w:name="_rsomixwkcsy6" w:id="13"/>
      <w:bookmarkEnd w:id="13"/>
      <w:r w:rsidDel="00000000" w:rsidR="00000000" w:rsidRPr="00000000">
        <w:rPr>
          <w:rtl w:val="0"/>
        </w:rPr>
        <w:t xml:space="preserve">IV. State-Level Mechanisms Reshaping Outcome-Neutral Care</w:t>
      </w:r>
    </w:p>
    <w:p w:rsidR="00000000" w:rsidDel="00000000" w:rsidP="00000000" w:rsidRDefault="00000000" w:rsidRPr="00000000" w14:paraId="00000024">
      <w:pPr>
        <w:pStyle w:val="Heading2"/>
        <w:rPr/>
      </w:pPr>
      <w:bookmarkStart w:colFirst="0" w:colLast="0" w:name="_99byetnfr37y" w:id="14"/>
      <w:bookmarkEnd w:id="14"/>
      <w:r w:rsidDel="00000000" w:rsidR="00000000" w:rsidRPr="00000000">
        <w:rPr>
          <w:rtl w:val="0"/>
        </w:rPr>
        <w:t xml:space="preserve">A. Idaho: Eligibility Classification Through Medicaid Design</w:t>
      </w:r>
    </w:p>
    <w:p w:rsidR="00000000" w:rsidDel="00000000" w:rsidP="00000000" w:rsidRDefault="00000000" w:rsidRPr="00000000" w14:paraId="00000025">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In 2024, Idaho enacted House Bill 633, authorizing the state to pursue a State Plan Amendment (“SPA”) extending postpartum Medicaid coverage pursuant to the federal option created by ARPA.</w:t>
      </w:r>
      <w:r w:rsidDel="00000000" w:rsidR="00000000" w:rsidRPr="00000000">
        <w:rPr>
          <w:rFonts w:ascii="Fraunces Light" w:cs="Fraunces Light" w:eastAsia="Fraunces Light" w:hAnsi="Fraunces Light"/>
          <w:vertAlign w:val="superscript"/>
        </w:rPr>
        <w:footnoteReference w:customMarkFollows="0" w:id="59"/>
      </w:r>
      <w:r w:rsidDel="00000000" w:rsidR="00000000" w:rsidRPr="00000000">
        <w:rPr>
          <w:rFonts w:ascii="Fraunces Light" w:cs="Fraunces Light" w:eastAsia="Fraunces Light" w:hAnsi="Fraunces Light"/>
          <w:rtl w:val="0"/>
        </w:rPr>
        <w:t xml:space="preserve"> As with other states adopting the twelve-month postpartum extension, Idaho was required to implement the program within the statutory guidelines governing pregnancy-related Medicaid coverage under federal law.</w:t>
      </w:r>
      <w:r w:rsidDel="00000000" w:rsidR="00000000" w:rsidRPr="00000000">
        <w:rPr>
          <w:rFonts w:ascii="Fraunces Light" w:cs="Fraunces Light" w:eastAsia="Fraunces Light" w:hAnsi="Fraunces Light"/>
          <w:vertAlign w:val="superscript"/>
        </w:rPr>
        <w:footnoteReference w:customMarkFollows="0" w:id="60"/>
      </w:r>
      <w:r w:rsidDel="00000000" w:rsidR="00000000" w:rsidRPr="00000000">
        <w:rPr>
          <w:rFonts w:ascii="Fraunces Light" w:cs="Fraunces Light" w:eastAsia="Fraunces Light" w:hAnsi="Fraunces Light"/>
          <w:rtl w:val="0"/>
        </w:rPr>
        <w:t xml:space="preserve"> Idaho subsequently submitted SPA 24-0015 to the Centers for Medicare &amp; Medicaid Services (“CMS”) for approval pursuant to the federal Medicaid review process.</w:t>
      </w:r>
      <w:r w:rsidDel="00000000" w:rsidR="00000000" w:rsidRPr="00000000">
        <w:rPr>
          <w:rFonts w:ascii="Fraunces Light" w:cs="Fraunces Light" w:eastAsia="Fraunces Light" w:hAnsi="Fraunces Light"/>
          <w:vertAlign w:val="superscript"/>
        </w:rPr>
        <w:footnoteReference w:customMarkFollows="0" w:id="61"/>
      </w:r>
      <w:r w:rsidDel="00000000" w:rsidR="00000000" w:rsidRPr="00000000">
        <w:rPr>
          <w:rtl w:val="0"/>
        </w:rPr>
      </w:r>
    </w:p>
    <w:p w:rsidR="00000000" w:rsidDel="00000000" w:rsidP="00000000" w:rsidRDefault="00000000" w:rsidRPr="00000000" w14:paraId="00000026">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Idaho’s proposal was significant because it attempted to condition federally authorized postpartum Medicaid coverage on pregnancy-outcome determinations.</w:t>
      </w:r>
      <w:r w:rsidDel="00000000" w:rsidR="00000000" w:rsidRPr="00000000">
        <w:rPr>
          <w:rFonts w:ascii="Fraunces Light" w:cs="Fraunces Light" w:eastAsia="Fraunces Light" w:hAnsi="Fraunces Light"/>
          <w:vertAlign w:val="superscript"/>
        </w:rPr>
        <w:footnoteReference w:customMarkFollows="0" w:id="62"/>
      </w:r>
      <w:r w:rsidDel="00000000" w:rsidR="00000000" w:rsidRPr="00000000">
        <w:rPr>
          <w:rFonts w:ascii="Fraunces Light" w:cs="Fraunces Light" w:eastAsia="Fraunces Light" w:hAnsi="Fraunces Light"/>
          <w:rtl w:val="0"/>
        </w:rPr>
        <w:t xml:space="preserve"> Under SPA 24-0015, Idaho sought to extend postpartum coverage while excluding individuals whose pregnancies ended in abortion.</w:t>
      </w:r>
      <w:r w:rsidDel="00000000" w:rsidR="00000000" w:rsidRPr="00000000">
        <w:rPr>
          <w:rFonts w:ascii="Fraunces Light" w:cs="Fraunces Light" w:eastAsia="Fraunces Light" w:hAnsi="Fraunces Light"/>
          <w:vertAlign w:val="superscript"/>
        </w:rPr>
        <w:footnoteReference w:customMarkFollows="0" w:id="63"/>
      </w:r>
      <w:r w:rsidDel="00000000" w:rsidR="00000000" w:rsidRPr="00000000">
        <w:rPr>
          <w:rFonts w:ascii="Fraunces Light" w:cs="Fraunces Light" w:eastAsia="Fraunces Light" w:hAnsi="Fraunces Light"/>
          <w:rtl w:val="0"/>
        </w:rPr>
        <w:t xml:space="preserve"> The proposal therefore introduced an outcome-based eligibility distinction into a statutory framework that otherwise defines eligibility based on pregnancy status and prior qualification rather than pregnancy outcome.</w:t>
      </w:r>
      <w:r w:rsidDel="00000000" w:rsidR="00000000" w:rsidRPr="00000000">
        <w:rPr>
          <w:rFonts w:ascii="Fraunces Light" w:cs="Fraunces Light" w:eastAsia="Fraunces Light" w:hAnsi="Fraunces Light"/>
          <w:vertAlign w:val="superscript"/>
        </w:rPr>
        <w:footnoteReference w:customMarkFollows="0" w:id="64"/>
      </w:r>
      <w:r w:rsidDel="00000000" w:rsidR="00000000" w:rsidRPr="00000000">
        <w:rPr>
          <w:rFonts w:ascii="Fraunces Light" w:cs="Fraunces Light" w:eastAsia="Fraunces Light" w:hAnsi="Fraunces Light"/>
          <w:rtl w:val="0"/>
        </w:rPr>
        <w:t xml:space="preserve"> Rather than relying solely on categorical eligibility, the SPA would have required the state to determine whether a pregnancy ended in live birth, miscarriage, or abortion in order to administer continued coverage.</w:t>
      </w:r>
      <w:r w:rsidDel="00000000" w:rsidR="00000000" w:rsidRPr="00000000">
        <w:rPr>
          <w:rFonts w:ascii="Fraunces Light" w:cs="Fraunces Light" w:eastAsia="Fraunces Light" w:hAnsi="Fraunces Light"/>
          <w:vertAlign w:val="superscript"/>
        </w:rPr>
        <w:footnoteReference w:customMarkFollows="0" w:id="65"/>
      </w:r>
      <w:r w:rsidDel="00000000" w:rsidR="00000000" w:rsidRPr="00000000">
        <w:rPr>
          <w:rtl w:val="0"/>
        </w:rPr>
      </w:r>
    </w:p>
    <w:p w:rsidR="00000000" w:rsidDel="00000000" w:rsidP="00000000" w:rsidRDefault="00000000" w:rsidRPr="00000000" w14:paraId="00000027">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CMS ultimately disapproved the SPA on the ground that it conflicted with the federal statutory requirements governing pregnancy-related Medicaid eligibility.</w:t>
      </w:r>
      <w:r w:rsidDel="00000000" w:rsidR="00000000" w:rsidRPr="00000000">
        <w:rPr>
          <w:rFonts w:ascii="Fraunces Light" w:cs="Fraunces Light" w:eastAsia="Fraunces Light" w:hAnsi="Fraunces Light"/>
          <w:vertAlign w:val="superscript"/>
        </w:rPr>
        <w:footnoteReference w:customMarkFollows="0" w:id="66"/>
      </w:r>
      <w:r w:rsidDel="00000000" w:rsidR="00000000" w:rsidRPr="00000000">
        <w:rPr>
          <w:rFonts w:ascii="Fraunces Light" w:cs="Fraunces Light" w:eastAsia="Fraunces Light" w:hAnsi="Fraunces Light"/>
          <w:rtl w:val="0"/>
        </w:rPr>
        <w:t xml:space="preserve"> Federal law extends postpartum coverage without reference to pregnancy outcome, and CMS concluded that Idaho could not impose an additional eligibility limitation excluding abortion-related pregnancies.</w:t>
      </w:r>
      <w:r w:rsidDel="00000000" w:rsidR="00000000" w:rsidRPr="00000000">
        <w:rPr>
          <w:rFonts w:ascii="Fraunces Light" w:cs="Fraunces Light" w:eastAsia="Fraunces Light" w:hAnsi="Fraunces Light"/>
          <w:vertAlign w:val="superscript"/>
        </w:rPr>
        <w:footnoteReference w:customMarkFollows="0" w:id="67"/>
      </w:r>
      <w:r w:rsidDel="00000000" w:rsidR="00000000" w:rsidRPr="00000000">
        <w:rPr>
          <w:rFonts w:ascii="Fraunces Light" w:cs="Fraunces Light" w:eastAsia="Fraunces Light" w:hAnsi="Fraunces Light"/>
          <w:rtl w:val="0"/>
        </w:rPr>
        <w:t xml:space="preserve"> The disapproval reaffirmed that states may not redefine federally established eligibility categories through the SPA process.</w:t>
      </w:r>
      <w:r w:rsidDel="00000000" w:rsidR="00000000" w:rsidRPr="00000000">
        <w:rPr>
          <w:rFonts w:ascii="Fraunces Light" w:cs="Fraunces Light" w:eastAsia="Fraunces Light" w:hAnsi="Fraunces Light"/>
          <w:vertAlign w:val="superscript"/>
        </w:rPr>
        <w:footnoteReference w:customMarkFollows="0" w:id="68"/>
      </w:r>
      <w:r w:rsidDel="00000000" w:rsidR="00000000" w:rsidRPr="00000000">
        <w:rPr>
          <w:rFonts w:ascii="Fraunces Light" w:cs="Fraunces Light" w:eastAsia="Fraunces Light" w:hAnsi="Fraunces Light"/>
          <w:rtl w:val="0"/>
        </w:rPr>
        <w:t xml:space="preserve"> Although the proposal never took effect, its structure illustrates how eligibility design can transform administrative systems into mechanisms of pregnancy-outcome verification. Eligibility systems that condition access to benefits on pregnancy outcome necessarily require systems capable of identifying, documenting, and verifying how a pregnancy ended.</w:t>
      </w:r>
      <w:r w:rsidDel="00000000" w:rsidR="00000000" w:rsidRPr="00000000">
        <w:rPr>
          <w:rFonts w:ascii="Fraunces Light" w:cs="Fraunces Light" w:eastAsia="Fraunces Light" w:hAnsi="Fraunces Light"/>
          <w:vertAlign w:val="superscript"/>
        </w:rPr>
        <w:footnoteReference w:customMarkFollows="0" w:id="69"/>
      </w:r>
      <w:r w:rsidDel="00000000" w:rsidR="00000000" w:rsidRPr="00000000">
        <w:rPr>
          <w:rFonts w:ascii="Fraunces Light" w:cs="Fraunces Light" w:eastAsia="Fraunces Light" w:hAnsi="Fraunces Light"/>
          <w:rtl w:val="0"/>
        </w:rPr>
        <w:t xml:space="preserve"> Unlike traditional Medicaid eligibility criteria based on income or categorical status, Idaho’s proposal would have incorporated pregnancy-outcome determinations directly into benefits administration.</w:t>
      </w:r>
      <w:r w:rsidDel="00000000" w:rsidR="00000000" w:rsidRPr="00000000">
        <w:rPr>
          <w:rFonts w:ascii="Fraunces Light" w:cs="Fraunces Light" w:eastAsia="Fraunces Light" w:hAnsi="Fraunces Light"/>
          <w:vertAlign w:val="superscript"/>
        </w:rPr>
        <w:footnoteReference w:customMarkFollows="0" w:id="70"/>
      </w:r>
      <w:r w:rsidDel="00000000" w:rsidR="00000000" w:rsidRPr="00000000">
        <w:rPr>
          <w:rtl w:val="0"/>
        </w:rPr>
      </w:r>
    </w:p>
    <w:p w:rsidR="00000000" w:rsidDel="00000000" w:rsidP="00000000" w:rsidRDefault="00000000" w:rsidRPr="00000000" w14:paraId="00000028">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These structural features carry implications beyond benefits administration itself. Where access to coverage depends on pregnancy-outcome determinations, providers may be required to document information relevant to eligibility decisions. Patients may likewise hesitate to seek care if treatment could expose them to scrutiny or affect continued coverage.</w:t>
      </w:r>
      <w:r w:rsidDel="00000000" w:rsidR="00000000" w:rsidRPr="00000000">
        <w:rPr>
          <w:rFonts w:ascii="Fraunces Light" w:cs="Fraunces Light" w:eastAsia="Fraunces Light" w:hAnsi="Fraunces Light"/>
          <w:vertAlign w:val="superscript"/>
        </w:rPr>
        <w:footnoteReference w:customMarkFollows="0" w:id="71"/>
      </w:r>
      <w:r w:rsidDel="00000000" w:rsidR="00000000" w:rsidRPr="00000000">
        <w:rPr>
          <w:rFonts w:ascii="Fraunces Light" w:cs="Fraunces Light" w:eastAsia="Fraunces Light" w:hAnsi="Fraunces Light"/>
          <w:rtl w:val="0"/>
        </w:rPr>
        <w:t xml:space="preserve"> Federal courts and public-health authorities have long recognized that legal uncertainty surrounding abortion regulation may influence provider behavior and treatment decisions.</w:t>
      </w:r>
      <w:r w:rsidDel="00000000" w:rsidR="00000000" w:rsidRPr="00000000">
        <w:rPr>
          <w:rFonts w:ascii="Fraunces Light" w:cs="Fraunces Light" w:eastAsia="Fraunces Light" w:hAnsi="Fraunces Light"/>
          <w:vertAlign w:val="superscript"/>
        </w:rPr>
        <w:footnoteReference w:customMarkFollows="0" w:id="72"/>
      </w:r>
      <w:r w:rsidDel="00000000" w:rsidR="00000000" w:rsidRPr="00000000">
        <w:rPr>
          <w:rFonts w:ascii="Fraunces Light" w:cs="Fraunces Light" w:eastAsia="Fraunces Light" w:hAnsi="Fraunces Light"/>
          <w:rtl w:val="0"/>
        </w:rPr>
        <w:t xml:space="preserve"> Even where administrative systems are technically limited to eligibility determinations, they operate within broader legal environments in which pregnancy outcomes may carry potential regulatory significance. Although Idaho’s SPA did not impose direct criminal penalties, it demonstrates how administrative eligibility mechanisms may nevertheless shape provider conduct and patient decision-making. In this way, pregnancy-outcome verification can function as a form of indirect regulation even where post-abortion care remains formally legal.</w:t>
      </w:r>
    </w:p>
    <w:p w:rsidR="00000000" w:rsidDel="00000000" w:rsidP="00000000" w:rsidRDefault="00000000" w:rsidRPr="00000000" w14:paraId="00000029">
      <w:pPr>
        <w:pStyle w:val="Heading2"/>
        <w:spacing w:after="200" w:line="240" w:lineRule="auto"/>
        <w:rPr/>
      </w:pPr>
      <w:bookmarkStart w:colFirst="0" w:colLast="0" w:name="_fbjw7fbg4o0n" w:id="15"/>
      <w:bookmarkEnd w:id="15"/>
      <w:r w:rsidDel="00000000" w:rsidR="00000000" w:rsidRPr="00000000">
        <w:rPr>
          <w:rtl w:val="0"/>
        </w:rPr>
        <w:t xml:space="preserve">B. Texas: Restrictive Enforcement Environments and Clinical Uncertainty</w:t>
      </w:r>
    </w:p>
    <w:p w:rsidR="00000000" w:rsidDel="00000000" w:rsidP="00000000" w:rsidRDefault="00000000" w:rsidRPr="00000000" w14:paraId="0000002A">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Unlike Idaho, Texas has not attempted to condition postpartum Medicaid eligibility on pregnancy outcome. Instead, the Texas framework illustrates how criminal prohibitions and enforcement environments may indirectly influence the provision of post-abortion care even where eligibility rules remain practically unchanged. Following </w:t>
      </w:r>
      <w:r w:rsidDel="00000000" w:rsidR="00000000" w:rsidRPr="00000000">
        <w:rPr>
          <w:rFonts w:ascii="Fraunces Light" w:cs="Fraunces Light" w:eastAsia="Fraunces Light" w:hAnsi="Fraunces Light"/>
          <w:i w:val="1"/>
          <w:iCs w:val="1"/>
          <w:rtl w:val="0"/>
        </w:rPr>
        <w:t xml:space="preserve">Dobbs v. Jackson Women’s Health Organization</w:t>
      </w:r>
      <w:r w:rsidDel="00000000" w:rsidR="00000000" w:rsidRPr="00000000">
        <w:rPr>
          <w:rFonts w:ascii="Fraunces Light" w:cs="Fraunces Light" w:eastAsia="Fraunces Light" w:hAnsi="Fraunces Light"/>
          <w:rtl w:val="0"/>
        </w:rPr>
        <w:t xml:space="preserve">, Texas implemented some of the nation’s most restrictive abortion laws, including overlapping civil and criminal enforcement mechanisms.</w:t>
      </w:r>
      <w:r w:rsidDel="00000000" w:rsidR="00000000" w:rsidRPr="00000000">
        <w:rPr>
          <w:rFonts w:ascii="Fraunces Light" w:cs="Fraunces Light" w:eastAsia="Fraunces Light" w:hAnsi="Fraunces Light"/>
          <w:vertAlign w:val="superscript"/>
        </w:rPr>
        <w:footnoteReference w:customMarkFollows="0" w:id="73"/>
      </w:r>
      <w:r w:rsidDel="00000000" w:rsidR="00000000" w:rsidRPr="00000000">
        <w:rPr>
          <w:rFonts w:ascii="Fraunces Light" w:cs="Fraunces Light" w:eastAsia="Fraunces Light" w:hAnsi="Fraunces Light"/>
          <w:rtl w:val="0"/>
        </w:rPr>
        <w:t xml:space="preserve"> Although Texas law preserves exceptions for medical emergencies and treatment relating to miscarriage management, </w:t>
      </w:r>
      <w:r w:rsidDel="00000000" w:rsidR="00000000" w:rsidRPr="00000000">
        <w:rPr>
          <w:rFonts w:ascii="Fraunces Light" w:cs="Fraunces Light" w:eastAsia="Fraunces Light" w:hAnsi="Fraunces Light"/>
          <w:rtl w:val="0"/>
        </w:rPr>
        <w:t xml:space="preserve">the</w:t>
      </w:r>
      <w:r w:rsidDel="00000000" w:rsidR="00000000" w:rsidRPr="00000000">
        <w:rPr>
          <w:rFonts w:ascii="Fraunces Light" w:cs="Fraunces Light" w:eastAsia="Fraunces Light" w:hAnsi="Fraunces Light"/>
          <w:rtl w:val="0"/>
        </w:rPr>
        <w:t xml:space="preserve"> broader enforcement environment has generated substantial uncertainty regarding the scope of permissible care.</w:t>
      </w:r>
      <w:r w:rsidDel="00000000" w:rsidR="00000000" w:rsidRPr="00000000">
        <w:rPr>
          <w:rFonts w:ascii="Fraunces Light" w:cs="Fraunces Light" w:eastAsia="Fraunces Light" w:hAnsi="Fraunces Light"/>
          <w:vertAlign w:val="superscript"/>
        </w:rPr>
        <w:footnoteReference w:customMarkFollows="0" w:id="74"/>
      </w:r>
      <w:r w:rsidDel="00000000" w:rsidR="00000000" w:rsidRPr="00000000">
        <w:rPr>
          <w:rFonts w:ascii="Fraunces Light" w:cs="Fraunces Light" w:eastAsia="Fraunces Light" w:hAnsi="Fraunces Light"/>
          <w:rtl w:val="0"/>
        </w:rPr>
        <w:t xml:space="preserve"> </w:t>
      </w:r>
    </w:p>
    <w:p w:rsidR="00000000" w:rsidDel="00000000" w:rsidP="00000000" w:rsidRDefault="00000000" w:rsidRPr="00000000" w14:paraId="0000002B">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This uncertainty is particularly significant in emergency reproductive-health settings because treatment for miscarriage and abortion-related complications frequently involves overlapping clinical presentations and substantially overlapping medical interventions.</w:t>
      </w:r>
      <w:r w:rsidDel="00000000" w:rsidR="00000000" w:rsidRPr="00000000">
        <w:rPr>
          <w:rFonts w:ascii="Fraunces Light" w:cs="Fraunces Light" w:eastAsia="Fraunces Light" w:hAnsi="Fraunces Light"/>
          <w:vertAlign w:val="superscript"/>
        </w:rPr>
        <w:footnoteReference w:customMarkFollows="0" w:id="75"/>
      </w:r>
      <w:r w:rsidDel="00000000" w:rsidR="00000000" w:rsidRPr="00000000">
        <w:rPr>
          <w:rFonts w:ascii="Fraunces Light" w:cs="Fraunces Light" w:eastAsia="Fraunces Light" w:hAnsi="Fraunces Light"/>
          <w:rtl w:val="0"/>
        </w:rPr>
        <w:t xml:space="preserve"> Management of incomplete miscarriage, retained fetal tissue, hemorrhage, and related pregnancy complications may require the same medications and procedures commonly used in abortion care, including misoprostol, mifepristone, and dilation and curettage procedures.</w:t>
      </w:r>
      <w:r w:rsidDel="00000000" w:rsidR="00000000" w:rsidRPr="00000000">
        <w:rPr>
          <w:rFonts w:ascii="Fraunces Light" w:cs="Fraunces Light" w:eastAsia="Fraunces Light" w:hAnsi="Fraunces Light"/>
          <w:vertAlign w:val="superscript"/>
        </w:rPr>
        <w:footnoteReference w:customMarkFollows="0" w:id="76"/>
      </w:r>
      <w:r w:rsidDel="00000000" w:rsidR="00000000" w:rsidRPr="00000000">
        <w:rPr>
          <w:rFonts w:ascii="Fraunces Light" w:cs="Fraunces Light" w:eastAsia="Fraunces Light" w:hAnsi="Fraunces Light"/>
          <w:rtl w:val="0"/>
        </w:rPr>
        <w:t xml:space="preserve"> Providers operating within restrictive legal environments may therefore face uncertainty regarding when emergency treatment falls clearly within statutory exceptions.</w:t>
      </w:r>
      <w:r w:rsidDel="00000000" w:rsidR="00000000" w:rsidRPr="00000000">
        <w:rPr>
          <w:rFonts w:ascii="Fraunces Light" w:cs="Fraunces Light" w:eastAsia="Fraunces Light" w:hAnsi="Fraunces Light"/>
          <w:vertAlign w:val="superscript"/>
        </w:rPr>
        <w:footnoteReference w:customMarkFollows="0" w:id="77"/>
      </w:r>
      <w:r w:rsidDel="00000000" w:rsidR="00000000" w:rsidRPr="00000000">
        <w:rPr>
          <w:rtl w:val="0"/>
        </w:rPr>
      </w:r>
    </w:p>
    <w:p w:rsidR="00000000" w:rsidDel="00000000" w:rsidP="00000000" w:rsidRDefault="00000000" w:rsidRPr="00000000" w14:paraId="0000002C">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Litigation challenging Texas’s abortion restrictions has produced substantial evidence that physicians altered or delayed treatment decisions because of uncertainty regarding criminal exposure and professional risk.</w:t>
      </w:r>
      <w:r w:rsidDel="00000000" w:rsidR="00000000" w:rsidRPr="00000000">
        <w:rPr>
          <w:rFonts w:ascii="Fraunces Light" w:cs="Fraunces Light" w:eastAsia="Fraunces Light" w:hAnsi="Fraunces Light"/>
          <w:vertAlign w:val="superscript"/>
        </w:rPr>
        <w:footnoteReference w:customMarkFollows="0" w:id="78"/>
      </w:r>
      <w:r w:rsidDel="00000000" w:rsidR="00000000" w:rsidRPr="00000000">
        <w:rPr>
          <w:rFonts w:ascii="Fraunces Light" w:cs="Fraunces Light" w:eastAsia="Fraunces Light" w:hAnsi="Fraunces Light"/>
          <w:rtl w:val="0"/>
        </w:rPr>
        <w:t xml:space="preserve"> Physician declarations submitted in the litigation described circumstances in which providers delayed intervention for patients experiencing severe pregnancy complications until fetal cardiac activity ceased or the patient’s condition deteriorated sufficiently to satisfy perceived legal thresholds.</w:t>
      </w:r>
      <w:r w:rsidDel="00000000" w:rsidR="00000000" w:rsidRPr="00000000">
        <w:rPr>
          <w:rFonts w:ascii="Fraunces Light" w:cs="Fraunces Light" w:eastAsia="Fraunces Light" w:hAnsi="Fraunces Light"/>
          <w:vertAlign w:val="superscript"/>
        </w:rPr>
        <w:footnoteReference w:customMarkFollows="0" w:id="79"/>
      </w:r>
      <w:r w:rsidDel="00000000" w:rsidR="00000000" w:rsidRPr="00000000">
        <w:rPr>
          <w:rFonts w:ascii="Fraunces Light" w:cs="Fraunces Light" w:eastAsia="Fraunces Light" w:hAnsi="Fraunces Light"/>
          <w:rtl w:val="0"/>
        </w:rPr>
        <w:t xml:space="preserve"> Plaintiffs in </w:t>
      </w:r>
      <w:r w:rsidDel="00000000" w:rsidR="00000000" w:rsidRPr="00000000">
        <w:rPr>
          <w:rFonts w:ascii="Fraunces Light" w:cs="Fraunces Light" w:eastAsia="Fraunces Light" w:hAnsi="Fraunces Light"/>
          <w:i w:val="1"/>
          <w:iCs w:val="1"/>
          <w:rtl w:val="0"/>
        </w:rPr>
        <w:t xml:space="preserve">Zurawski</w:t>
      </w:r>
      <w:r w:rsidDel="00000000" w:rsidR="00000000" w:rsidRPr="00000000">
        <w:rPr>
          <w:rFonts w:ascii="Fraunces Light" w:cs="Fraunces Light" w:eastAsia="Fraunces Light" w:hAnsi="Fraunces Light"/>
          <w:rtl w:val="0"/>
        </w:rPr>
        <w:t xml:space="preserve"> further described delays in emergency treatment while fetal cardiac activity remained detectable because providers feared potential criminal liability.</w:t>
      </w:r>
      <w:r w:rsidDel="00000000" w:rsidR="00000000" w:rsidRPr="00000000">
        <w:rPr>
          <w:rFonts w:ascii="Fraunces Light" w:cs="Fraunces Light" w:eastAsia="Fraunces Light" w:hAnsi="Fraunces Light"/>
          <w:vertAlign w:val="superscript"/>
        </w:rPr>
        <w:footnoteReference w:customMarkFollows="0" w:id="80"/>
      </w:r>
      <w:r w:rsidDel="00000000" w:rsidR="00000000" w:rsidRPr="00000000">
        <w:rPr>
          <w:rFonts w:ascii="Fraunces Light" w:cs="Fraunces Light" w:eastAsia="Fraunces Light" w:hAnsi="Fraunces Light"/>
          <w:rtl w:val="0"/>
        </w:rPr>
        <w:t xml:space="preserve"> These accounts reflect broader concerns that legal uncertainty may influence clinical judgment by encouraging providers to avoid perceived liability.</w:t>
      </w:r>
      <w:r w:rsidDel="00000000" w:rsidR="00000000" w:rsidRPr="00000000">
        <w:rPr>
          <w:rFonts w:ascii="Fraunces Light" w:cs="Fraunces Light" w:eastAsia="Fraunces Light" w:hAnsi="Fraunces Light"/>
          <w:vertAlign w:val="superscript"/>
        </w:rPr>
        <w:footnoteReference w:customMarkFollows="0" w:id="81"/>
      </w:r>
      <w:r w:rsidDel="00000000" w:rsidR="00000000" w:rsidRPr="00000000">
        <w:rPr>
          <w:rtl w:val="0"/>
        </w:rPr>
      </w:r>
    </w:p>
    <w:p w:rsidR="00000000" w:rsidDel="00000000" w:rsidP="00000000" w:rsidRDefault="00000000" w:rsidRPr="00000000" w14:paraId="0000002D">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Although Texas has not altered Medicaid eligibility criteria governing post-abortion care, its enforcement guidelines nevertheless may shape operational access to treatment. In emergency reproductive-health settings, providers </w:t>
      </w:r>
      <w:r w:rsidDel="00000000" w:rsidR="00000000" w:rsidRPr="00000000">
        <w:rPr>
          <w:rtl w:val="0"/>
        </w:rPr>
        <w:t xml:space="preserve">have</w:t>
      </w:r>
      <w:r w:rsidDel="00000000" w:rsidR="00000000" w:rsidRPr="00000000">
        <w:rPr>
          <w:rFonts w:ascii="Fraunces Light" w:cs="Fraunces Light" w:eastAsia="Fraunces Light" w:hAnsi="Fraunces Light"/>
          <w:rtl w:val="0"/>
        </w:rPr>
        <w:t xml:space="preserve"> delayed or narrowed treatment decisions where legal standards are perceived as unclear or carry potential liability risks.</w:t>
      </w:r>
      <w:r w:rsidDel="00000000" w:rsidR="00000000" w:rsidRPr="00000000">
        <w:rPr>
          <w:rFonts w:ascii="Fraunces Light" w:cs="Fraunces Light" w:eastAsia="Fraunces Light" w:hAnsi="Fraunces Light"/>
          <w:vertAlign w:val="superscript"/>
        </w:rPr>
        <w:footnoteReference w:customMarkFollows="0" w:id="82"/>
      </w:r>
      <w:r w:rsidDel="00000000" w:rsidR="00000000" w:rsidRPr="00000000">
        <w:rPr>
          <w:rFonts w:ascii="Fraunces Light" w:cs="Fraunces Light" w:eastAsia="Fraunces Light" w:hAnsi="Fraunces Light"/>
          <w:rtl w:val="0"/>
        </w:rPr>
        <w:t xml:space="preserve"> Additional physician testimony and public reporting following implementation of Texas’s abortion restrictions similarly described delays in treatment for pregnancy complications arising from uncertainty regarding permissible intervention.</w:t>
      </w:r>
      <w:r w:rsidDel="00000000" w:rsidR="00000000" w:rsidRPr="00000000">
        <w:rPr>
          <w:rFonts w:ascii="Fraunces Light" w:cs="Fraunces Light" w:eastAsia="Fraunces Light" w:hAnsi="Fraunces Light"/>
          <w:vertAlign w:val="superscript"/>
        </w:rPr>
        <w:footnoteReference w:customMarkFollows="0" w:id="83"/>
      </w:r>
      <w:r w:rsidDel="00000000" w:rsidR="00000000" w:rsidRPr="00000000">
        <w:rPr>
          <w:rFonts w:ascii="Fraunces Light" w:cs="Fraunces Light" w:eastAsia="Fraunces Light" w:hAnsi="Fraunces Light"/>
          <w:rtl w:val="0"/>
        </w:rPr>
        <w:t xml:space="preserve"> Texas therefore illustrates how enforcement pressure may indirectly constrain operational access to care even where treatment remains lawful under statutory emergency exceptions.</w:t>
      </w:r>
      <w:r w:rsidDel="00000000" w:rsidR="00000000" w:rsidRPr="00000000">
        <w:rPr>
          <w:rFonts w:ascii="Fraunces Light" w:cs="Fraunces Light" w:eastAsia="Fraunces Light" w:hAnsi="Fraunces Light"/>
          <w:vertAlign w:val="superscript"/>
        </w:rPr>
        <w:footnoteReference w:customMarkFollows="0" w:id="84"/>
      </w:r>
      <w:r w:rsidDel="00000000" w:rsidR="00000000" w:rsidRPr="00000000">
        <w:rPr>
          <w:rtl w:val="0"/>
        </w:rPr>
      </w:r>
    </w:p>
    <w:p w:rsidR="00000000" w:rsidDel="00000000" w:rsidP="00000000" w:rsidRDefault="00000000" w:rsidRPr="00000000" w14:paraId="0000002E">
      <w:pPr>
        <w:pStyle w:val="Heading2"/>
        <w:spacing w:after="200" w:line="240" w:lineRule="auto"/>
        <w:rPr/>
      </w:pPr>
      <w:bookmarkStart w:colFirst="0" w:colLast="0" w:name="_659d3y81w9lh" w:id="16"/>
      <w:bookmarkEnd w:id="16"/>
      <w:r w:rsidDel="00000000" w:rsidR="00000000" w:rsidRPr="00000000">
        <w:rPr>
          <w:rtl w:val="0"/>
        </w:rPr>
        <w:t xml:space="preserve">C. Oklahoma: Provider Credentialing, Compliance, and Administrative Oversight</w:t>
      </w:r>
    </w:p>
    <w:p w:rsidR="00000000" w:rsidDel="00000000" w:rsidP="00000000" w:rsidRDefault="00000000" w:rsidRPr="00000000" w14:paraId="0000002F">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Oklahoma illustrates a third mechanism through which reproductive-health regulation may intersect with public health administration. Unlike Idaho’s attempt to alter Medicaid eligibility, Oklahoma has not sought to condition postpartum coverage directly on pregnancy outcome. Instead, recent executive and administrative actions link participation in the state Medicaid system to abortion-related compliance obligations.</w:t>
      </w:r>
    </w:p>
    <w:p w:rsidR="00000000" w:rsidDel="00000000" w:rsidP="00000000" w:rsidRDefault="00000000" w:rsidRPr="00000000" w14:paraId="00000030">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In July 2025, Governor Kevin Stitt issued Executive Order 2025-16 directing the Oklahoma Health Care Authority (“OHCA”) to revise SoonerCare credentialing standards to ensure that participating providers aligned with Oklahoma policy regarding abortion.</w:t>
      </w:r>
      <w:r w:rsidDel="00000000" w:rsidR="00000000" w:rsidRPr="00000000">
        <w:rPr>
          <w:rFonts w:ascii="Fraunces Light" w:cs="Fraunces Light" w:eastAsia="Fraunces Light" w:hAnsi="Fraunces Light"/>
          <w:vertAlign w:val="superscript"/>
        </w:rPr>
        <w:footnoteReference w:customMarkFollows="0" w:id="85"/>
      </w:r>
      <w:r w:rsidDel="00000000" w:rsidR="00000000" w:rsidRPr="00000000">
        <w:rPr>
          <w:rFonts w:ascii="Fraunces Light" w:cs="Fraunces Light" w:eastAsia="Fraunces Light" w:hAnsi="Fraunces Light"/>
          <w:rtl w:val="0"/>
        </w:rPr>
        <w:t xml:space="preserve"> The order instructed OHCA to exclude from participation providers that perform, refer for, or are affiliated with abortions prohibited under Oklahoma law and required participating providers to submit signed attestations regarding abortion-related activities.</w:t>
      </w:r>
      <w:r w:rsidDel="00000000" w:rsidR="00000000" w:rsidRPr="00000000">
        <w:rPr>
          <w:rFonts w:ascii="Fraunces Light" w:cs="Fraunces Light" w:eastAsia="Fraunces Light" w:hAnsi="Fraunces Light"/>
          <w:vertAlign w:val="superscript"/>
        </w:rPr>
        <w:footnoteReference w:customMarkFollows="0" w:id="86"/>
      </w:r>
      <w:r w:rsidDel="00000000" w:rsidR="00000000" w:rsidRPr="00000000">
        <w:rPr>
          <w:rFonts w:ascii="Fraunces Light" w:cs="Fraunces Light" w:eastAsia="Fraunces Light" w:hAnsi="Fraunces Light"/>
          <w:rtl w:val="0"/>
        </w:rPr>
        <w:t xml:space="preserve"> OHCA subsequently implemented a provider attestation requiring applicants and participating entities to certify compliance with Oklahoma law and the OHCA provider agreement.</w:t>
      </w:r>
      <w:r w:rsidDel="00000000" w:rsidR="00000000" w:rsidRPr="00000000">
        <w:rPr>
          <w:rFonts w:ascii="Fraunces Light" w:cs="Fraunces Light" w:eastAsia="Fraunces Light" w:hAnsi="Fraunces Light"/>
          <w:vertAlign w:val="superscript"/>
        </w:rPr>
        <w:footnoteReference w:customMarkFollows="0" w:id="87"/>
      </w:r>
      <w:r w:rsidDel="00000000" w:rsidR="00000000" w:rsidRPr="00000000">
        <w:rPr>
          <w:rFonts w:ascii="Fraunces Light" w:cs="Fraunces Light" w:eastAsia="Fraunces Light" w:hAnsi="Fraunces Light"/>
          <w:rtl w:val="0"/>
        </w:rPr>
        <w:t xml:space="preserve"> Although these measures did not alter Medicaid eligibility standards themselves, they incorporated abortion-related compliance obligations into provider participation and oversight structures.</w:t>
      </w:r>
    </w:p>
    <w:p w:rsidR="00000000" w:rsidDel="00000000" w:rsidP="00000000" w:rsidRDefault="00000000" w:rsidRPr="00000000" w14:paraId="00000031">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At the same time, Oklahoma officials have attempted to clarify the relationship between abortion prohibitions and emergency pregnancy care. Oklahoma statutory law excludes treatment for ectopic pregnancy and removal of a dead unborn child following spontaneous miscarriage from the statutory definition of abortion.</w:t>
      </w:r>
      <w:r w:rsidDel="00000000" w:rsidR="00000000" w:rsidRPr="00000000">
        <w:rPr>
          <w:rFonts w:ascii="Fraunces Light" w:cs="Fraunces Light" w:eastAsia="Fraunces Light" w:hAnsi="Fraunces Light"/>
          <w:vertAlign w:val="superscript"/>
        </w:rPr>
        <w:footnoteReference w:customMarkFollows="0" w:id="88"/>
      </w:r>
      <w:r w:rsidDel="00000000" w:rsidR="00000000" w:rsidRPr="00000000">
        <w:rPr>
          <w:rFonts w:ascii="Fraunces Light" w:cs="Fraunces Light" w:eastAsia="Fraunces Light" w:hAnsi="Fraunces Light"/>
          <w:rtl w:val="0"/>
        </w:rPr>
        <w:t xml:space="preserve"> The Oklahoma Attorney General’s 2025 physician guidance further emphasized that physicians retain broad discretion to intervene when pregnancy-related conditions threaten a patient’s life and need not wait until a patient becomes septic or near death before providing treatment.</w:t>
      </w:r>
      <w:r w:rsidDel="00000000" w:rsidR="00000000" w:rsidRPr="00000000">
        <w:rPr>
          <w:rFonts w:ascii="Fraunces Light" w:cs="Fraunces Light" w:eastAsia="Fraunces Light" w:hAnsi="Fraunces Light"/>
          <w:vertAlign w:val="superscript"/>
        </w:rPr>
        <w:footnoteReference w:customMarkFollows="0" w:id="89"/>
      </w:r>
      <w:r w:rsidDel="00000000" w:rsidR="00000000" w:rsidRPr="00000000">
        <w:rPr>
          <w:rtl w:val="0"/>
        </w:rPr>
      </w:r>
    </w:p>
    <w:p w:rsidR="00000000" w:rsidDel="00000000" w:rsidP="00000000" w:rsidRDefault="00000000" w:rsidRPr="00000000" w14:paraId="00000032">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These clarifications are significant because they implicitly acknowledge the uncertainty that restrictive abortion regimes may create within clinical settings. The Oklahoma Supreme Court similarly recognized the importance of physician judgment in </w:t>
      </w:r>
      <w:r w:rsidDel="00000000" w:rsidR="00000000" w:rsidRPr="00000000">
        <w:rPr>
          <w:rFonts w:ascii="Fraunces Light" w:cs="Fraunces Light" w:eastAsia="Fraunces Light" w:hAnsi="Fraunces Light"/>
          <w:i w:val="1"/>
          <w:iCs w:val="1"/>
          <w:rtl w:val="0"/>
        </w:rPr>
        <w:t xml:space="preserve">Oklahoma Call for Reproductive Justice v. Drummond</w:t>
      </w:r>
      <w:r w:rsidDel="00000000" w:rsidR="00000000" w:rsidRPr="00000000">
        <w:rPr>
          <w:rFonts w:ascii="Fraunces Light" w:cs="Fraunces Light" w:eastAsia="Fraunces Light" w:hAnsi="Fraunces Light"/>
          <w:rtl w:val="0"/>
        </w:rPr>
        <w:t xml:space="preserve">, emphasizing that physicians may rely on reasonable medical judgment when determining whether pregnancy-related conditions threaten a patient’s life.</w:t>
      </w:r>
      <w:r w:rsidDel="00000000" w:rsidR="00000000" w:rsidRPr="00000000">
        <w:rPr>
          <w:rFonts w:ascii="Fraunces Light" w:cs="Fraunces Light" w:eastAsia="Fraunces Light" w:hAnsi="Fraunces Light"/>
          <w:vertAlign w:val="superscript"/>
        </w:rPr>
        <w:footnoteReference w:customMarkFollows="0" w:id="90"/>
      </w:r>
      <w:r w:rsidDel="00000000" w:rsidR="00000000" w:rsidRPr="00000000">
        <w:rPr>
          <w:rFonts w:ascii="Fraunces Light" w:cs="Fraunces Light" w:eastAsia="Fraunces Light" w:hAnsi="Fraunces Light"/>
          <w:rtl w:val="0"/>
        </w:rPr>
        <w:t xml:space="preserve"> The issuance of official physician guidance addressing miscarriage management and emergency intervention reflects the extent to which providers may perceive legal risk when treating pregnancy-related complications.</w:t>
      </w:r>
    </w:p>
    <w:p w:rsidR="00000000" w:rsidDel="00000000" w:rsidP="00000000" w:rsidRDefault="00000000" w:rsidRPr="00000000" w14:paraId="00000033">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Oklahoma therefore demonstrates a structural mechanism distinct from those examined in Idaho and Texas. Rather than conditioning eligibility directly or relying primarily on criminal enforcement, Oklahoma integrates abortion-related compliance obligations into Medicaid participation and provider oversight structures. State reporting and definitional statutes further reinforce this system of classification and compliance while preserving exceptions for miscarriage and emergency care.</w:t>
      </w:r>
      <w:r w:rsidDel="00000000" w:rsidR="00000000" w:rsidRPr="00000000">
        <w:rPr>
          <w:rFonts w:ascii="Fraunces Light" w:cs="Fraunces Light" w:eastAsia="Fraunces Light" w:hAnsi="Fraunces Light"/>
          <w:vertAlign w:val="superscript"/>
        </w:rPr>
        <w:footnoteReference w:customMarkFollows="0" w:id="91"/>
      </w:r>
      <w:r w:rsidDel="00000000" w:rsidR="00000000" w:rsidRPr="00000000">
        <w:rPr>
          <w:rFonts w:ascii="Fraunces Light" w:cs="Fraunces Light" w:eastAsia="Fraunces Light" w:hAnsi="Fraunces Light"/>
          <w:rtl w:val="0"/>
        </w:rPr>
        <w:t xml:space="preserve"> Oklahoma thus illustrates how reproductive regulation may become embedded within the administration of public insurance systems even where emergency and miscarriage care remain protected under state law.</w:t>
      </w:r>
    </w:p>
    <w:p w:rsidR="00000000" w:rsidDel="00000000" w:rsidP="00000000" w:rsidRDefault="00000000" w:rsidRPr="00000000" w14:paraId="00000034">
      <w:pPr>
        <w:pStyle w:val="Heading2"/>
        <w:rPr/>
      </w:pPr>
      <w:bookmarkStart w:colFirst="0" w:colLast="0" w:name="_c96apqss18rn" w:id="17"/>
      <w:bookmarkEnd w:id="17"/>
      <w:r w:rsidDel="00000000" w:rsidR="00000000" w:rsidRPr="00000000">
        <w:rPr>
          <w:rtl w:val="0"/>
        </w:rPr>
        <w:t xml:space="preserve">D. Comparative Structural Implications</w:t>
      </w:r>
    </w:p>
    <w:p w:rsidR="00000000" w:rsidDel="00000000" w:rsidP="00000000" w:rsidRDefault="00000000" w:rsidRPr="00000000" w14:paraId="00000035">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 state approaches examined in Idaho, Texas, and Oklahoma illustrate three distinct mechanisms through which reproductive-health regulation may reshape previously outcome-neutral systems of health care and public insurance: pregnancy-outcome classification, restrictive enforcement pressure, and provider-compliance oversight. Idaho attempted to incorporate pregnancy-outcome distinctions directly into Medicaid eligibility administration.</w:t>
      </w:r>
      <w:r w:rsidDel="00000000" w:rsidR="00000000" w:rsidRPr="00000000">
        <w:rPr>
          <w:rFonts w:ascii="Fraunces Light" w:cs="Fraunces Light" w:eastAsia="Fraunces Light" w:hAnsi="Fraunces Light"/>
          <w:vertAlign w:val="superscript"/>
        </w:rPr>
        <w:footnoteReference w:customMarkFollows="0" w:id="92"/>
      </w:r>
      <w:r w:rsidDel="00000000" w:rsidR="00000000" w:rsidRPr="00000000">
        <w:rPr>
          <w:rFonts w:ascii="Fraunces Light" w:cs="Fraunces Light" w:eastAsia="Fraunces Light" w:hAnsi="Fraunces Light"/>
          <w:rtl w:val="0"/>
        </w:rPr>
        <w:t xml:space="preserve"> Texas demonstrates how restrictive enforcement environments may influence emergency treatment decisions despite formal statutory exceptions.</w:t>
      </w:r>
      <w:r w:rsidDel="00000000" w:rsidR="00000000" w:rsidRPr="00000000">
        <w:rPr>
          <w:rFonts w:ascii="Fraunces Light" w:cs="Fraunces Light" w:eastAsia="Fraunces Light" w:hAnsi="Fraunces Light"/>
          <w:vertAlign w:val="superscript"/>
        </w:rPr>
        <w:footnoteReference w:customMarkFollows="0" w:id="93"/>
      </w:r>
      <w:r w:rsidDel="00000000" w:rsidR="00000000" w:rsidRPr="00000000">
        <w:rPr>
          <w:rFonts w:ascii="Fraunces Light" w:cs="Fraunces Light" w:eastAsia="Fraunces Light" w:hAnsi="Fraunces Light"/>
          <w:rtl w:val="0"/>
        </w:rPr>
        <w:t xml:space="preserve"> Oklahoma integrates abortion-related compliance obligations into provider participation and oversight systems.</w:t>
      </w:r>
      <w:r w:rsidDel="00000000" w:rsidR="00000000" w:rsidRPr="00000000">
        <w:rPr>
          <w:rFonts w:ascii="Fraunces Light" w:cs="Fraunces Light" w:eastAsia="Fraunces Light" w:hAnsi="Fraunces Light"/>
          <w:vertAlign w:val="superscript"/>
        </w:rPr>
        <w:footnoteReference w:customMarkFollows="0" w:id="94"/>
      </w:r>
      <w:r w:rsidDel="00000000" w:rsidR="00000000" w:rsidRPr="00000000">
        <w:rPr>
          <w:rtl w:val="0"/>
        </w:rPr>
      </w:r>
    </w:p>
    <w:p w:rsidR="00000000" w:rsidDel="00000000" w:rsidP="00000000" w:rsidRDefault="00000000" w:rsidRPr="00000000" w14:paraId="00000036">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Although these mechanisms operate differently, each illustrates how administrative governance and enforcement structures may shape the institutional conditions under which post-abortion care is delivered and accessed. Access to care therefore depends not only on whether treatment remains legally available, but also on how legal and administrative systems influence provider discretion, continuity of care, and patient willingness to seek treatment within emergency and reproductive-health settings.</w:t>
      </w:r>
      <w:r w:rsidDel="00000000" w:rsidR="00000000" w:rsidRPr="00000000">
        <w:rPr>
          <w:rFonts w:ascii="Fraunces Light" w:cs="Fraunces Light" w:eastAsia="Fraunces Light" w:hAnsi="Fraunces Light"/>
          <w:vertAlign w:val="superscript"/>
        </w:rPr>
        <w:footnoteReference w:customMarkFollows="0" w:id="95"/>
      </w:r>
      <w:r w:rsidDel="00000000" w:rsidR="00000000" w:rsidRPr="00000000">
        <w:rPr>
          <w:rtl w:val="0"/>
        </w:rPr>
      </w:r>
    </w:p>
    <w:p w:rsidR="00000000" w:rsidDel="00000000" w:rsidP="00000000" w:rsidRDefault="00000000" w:rsidRPr="00000000" w14:paraId="00000037">
      <w:pPr>
        <w:pStyle w:val="Heading1"/>
        <w:spacing w:after="200" w:line="240" w:lineRule="auto"/>
        <w:rPr/>
      </w:pPr>
      <w:bookmarkStart w:colFirst="0" w:colLast="0" w:name="_7uin3dm3cyvk" w:id="18"/>
      <w:bookmarkEnd w:id="18"/>
      <w:r w:rsidDel="00000000" w:rsidR="00000000" w:rsidRPr="00000000">
        <w:rPr>
          <w:rtl w:val="0"/>
        </w:rPr>
        <w:t xml:space="preserve">V. Comparative International Experience</w:t>
      </w:r>
    </w:p>
    <w:p w:rsidR="00000000" w:rsidDel="00000000" w:rsidP="00000000" w:rsidRDefault="00000000" w:rsidRPr="00000000" w14:paraId="00000038">
      <w:pPr>
        <w:pStyle w:val="Heading2"/>
        <w:rPr/>
      </w:pPr>
      <w:bookmarkStart w:colFirst="0" w:colLast="0" w:name="_o3rhix5gi6d6" w:id="19"/>
      <w:bookmarkEnd w:id="19"/>
      <w:r w:rsidDel="00000000" w:rsidR="00000000" w:rsidRPr="00000000">
        <w:rPr>
          <w:rtl w:val="0"/>
        </w:rPr>
        <w:t xml:space="preserve">A. International Standards Governing Post-Abortion Care</w:t>
      </w:r>
    </w:p>
    <w:p w:rsidR="00000000" w:rsidDel="00000000" w:rsidP="00000000" w:rsidRDefault="00000000" w:rsidRPr="00000000" w14:paraId="00000039">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International public health authorities consistently recognize post-abortion care (“PAC”) as an essential component of reproductive health systems. The World Health Organization (“WHO”) identifies PAC as a core health service that must remain available regardless of the legal status of abortion.</w:t>
      </w:r>
      <w:r w:rsidDel="00000000" w:rsidR="00000000" w:rsidRPr="00000000">
        <w:rPr>
          <w:rFonts w:ascii="Fraunces Light" w:cs="Fraunces Light" w:eastAsia="Fraunces Light" w:hAnsi="Fraunces Light"/>
          <w:vertAlign w:val="superscript"/>
        </w:rPr>
        <w:footnoteReference w:customMarkFollows="0" w:id="96"/>
      </w:r>
      <w:r w:rsidDel="00000000" w:rsidR="00000000" w:rsidRPr="00000000">
        <w:rPr>
          <w:rFonts w:ascii="Fraunces Light" w:cs="Fraunces Light" w:eastAsia="Fraunces Light" w:hAnsi="Fraunces Light"/>
          <w:rtl w:val="0"/>
        </w:rPr>
        <w:t xml:space="preserve"> WHO guidance further emphasizes that treatment of abortion-related complications should be integrated into broader emergency and reproductive-health systems and accompanied by confidentiality protections, timely referral pathways, and evidence-based clinical protocols.</w:t>
      </w:r>
      <w:r w:rsidDel="00000000" w:rsidR="00000000" w:rsidRPr="00000000">
        <w:rPr>
          <w:rFonts w:ascii="Fraunces Light" w:cs="Fraunces Light" w:eastAsia="Fraunces Light" w:hAnsi="Fraunces Light"/>
          <w:vertAlign w:val="superscript"/>
        </w:rPr>
        <w:footnoteReference w:customMarkFollows="0" w:id="97"/>
      </w:r>
      <w:r w:rsidDel="00000000" w:rsidR="00000000" w:rsidRPr="00000000">
        <w:rPr>
          <w:rFonts w:ascii="Fraunces Light" w:cs="Fraunces Light" w:eastAsia="Fraunces Light" w:hAnsi="Fraunces Light"/>
          <w:rtl w:val="0"/>
        </w:rPr>
        <w:t xml:space="preserve"> International Federation of Gynecology and Obstetrics (“FIGO”) guidance similarly recognizes confidentiality, informed consent, and independent clinical judgment as foundational principles governing reproductive-health care delivery.</w:t>
      </w:r>
      <w:r w:rsidDel="00000000" w:rsidR="00000000" w:rsidRPr="00000000">
        <w:rPr>
          <w:rFonts w:ascii="Fraunces Light" w:cs="Fraunces Light" w:eastAsia="Fraunces Light" w:hAnsi="Fraunces Light"/>
          <w:vertAlign w:val="superscript"/>
        </w:rPr>
        <w:footnoteReference w:customMarkFollows="0" w:id="98"/>
      </w:r>
      <w:r w:rsidDel="00000000" w:rsidR="00000000" w:rsidRPr="00000000">
        <w:rPr>
          <w:rtl w:val="0"/>
        </w:rPr>
      </w:r>
    </w:p>
    <w:p w:rsidR="00000000" w:rsidDel="00000000" w:rsidP="00000000" w:rsidRDefault="00000000" w:rsidRPr="00000000" w14:paraId="0000003A">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These international standards recognize that legal and administrative conditions surrounding reproductive-health care may materially affect access to treatment. WHO specifically warns that criminalization, reporting practices, and fear of legal consequences may delay treatment-seeking behavior and contribute to increased maternal morbidity and mortality.</w:t>
      </w:r>
      <w:r w:rsidDel="00000000" w:rsidR="00000000" w:rsidRPr="00000000">
        <w:rPr>
          <w:rFonts w:ascii="Fraunces Light" w:cs="Fraunces Light" w:eastAsia="Fraunces Light" w:hAnsi="Fraunces Light"/>
          <w:vertAlign w:val="superscript"/>
        </w:rPr>
        <w:footnoteReference w:customMarkFollows="0" w:id="99"/>
      </w:r>
      <w:r w:rsidDel="00000000" w:rsidR="00000000" w:rsidRPr="00000000">
        <w:rPr>
          <w:rFonts w:ascii="Fraunces Light" w:cs="Fraunces Light" w:eastAsia="Fraunces Light" w:hAnsi="Fraunces Light"/>
          <w:rtl w:val="0"/>
        </w:rPr>
        <w:t xml:space="preserve"> International human rights authorities have likewise recognized that barriers to confidential reproductive care may interfere with the rights to health, privacy, bodily autonomy, and access to information.</w:t>
      </w:r>
      <w:r w:rsidDel="00000000" w:rsidR="00000000" w:rsidRPr="00000000">
        <w:rPr>
          <w:rFonts w:ascii="Fraunces Light" w:cs="Fraunces Light" w:eastAsia="Fraunces Light" w:hAnsi="Fraunces Light"/>
          <w:vertAlign w:val="superscript"/>
        </w:rPr>
        <w:footnoteReference w:customMarkFollows="0" w:id="100"/>
      </w:r>
      <w:r w:rsidDel="00000000" w:rsidR="00000000" w:rsidRPr="00000000">
        <w:rPr>
          <w:rFonts w:ascii="Fraunces Light" w:cs="Fraunces Light" w:eastAsia="Fraunces Light" w:hAnsi="Fraunces Light"/>
          <w:rtl w:val="0"/>
        </w:rPr>
        <w:t xml:space="preserve"> Although the legal concepts examined below differ substantially from those governing reproductive health care in the United States, they illustrate how administrative regulation, provider uncertainty, and fear of legal consequences may affect operational access to post-abortion care even where treatment remains practically accessible.</w:t>
      </w:r>
    </w:p>
    <w:p w:rsidR="00000000" w:rsidDel="00000000" w:rsidP="00000000" w:rsidRDefault="00000000" w:rsidRPr="00000000" w14:paraId="0000003B">
      <w:pPr>
        <w:pStyle w:val="Heading2"/>
        <w:spacing w:after="200" w:line="240" w:lineRule="auto"/>
        <w:rPr/>
      </w:pPr>
      <w:bookmarkStart w:colFirst="0" w:colLast="0" w:name="_jzezv23ezb35" w:id="20"/>
      <w:bookmarkEnd w:id="20"/>
      <w:r w:rsidDel="00000000" w:rsidR="00000000" w:rsidRPr="00000000">
        <w:rPr>
          <w:rtl w:val="0"/>
        </w:rPr>
        <w:t xml:space="preserve">B. Comparative Illustration: Kenya and the Withdrawal of PAC Guidance</w:t>
      </w:r>
    </w:p>
    <w:p w:rsidR="00000000" w:rsidDel="00000000" w:rsidP="00000000" w:rsidRDefault="00000000" w:rsidRPr="00000000" w14:paraId="0000003C">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Developments in Kenya provide a concrete example of how administrative disruption and legal uncertainty can constrain access to post-abortion care even in the absence of direct criminal prohibitions on treatment itself. In 2012, Kenya’s Ministry of Medical Services and Ministry of Public Health and Sanitation issued the Standards and Guidelines for Reducing Morbidity and Mortality from Unsafe Abortion in Kenya, establishing national clinical guidance governing treatment of abortion-related complications and provision of post-abortion care.</w:t>
      </w:r>
      <w:r w:rsidDel="00000000" w:rsidR="00000000" w:rsidRPr="00000000">
        <w:rPr>
          <w:rFonts w:ascii="Fraunces Light" w:cs="Fraunces Light" w:eastAsia="Fraunces Light" w:hAnsi="Fraunces Light"/>
          <w:vertAlign w:val="superscript"/>
        </w:rPr>
        <w:footnoteReference w:customMarkFollows="0" w:id="101"/>
      </w:r>
      <w:r w:rsidDel="00000000" w:rsidR="00000000" w:rsidRPr="00000000">
        <w:rPr>
          <w:rFonts w:ascii="Fraunces Light" w:cs="Fraunces Light" w:eastAsia="Fraunces Light" w:hAnsi="Fraunces Light"/>
          <w:rtl w:val="0"/>
        </w:rPr>
        <w:t xml:space="preserve"> The guidelines framed PAC as a critical public-health intervention and established standardized protocols governing emergency treatment, counseling, referral systems, provider training, and reduction of maternal morbidity associated with unsafe abortion.</w:t>
      </w:r>
      <w:r w:rsidDel="00000000" w:rsidR="00000000" w:rsidRPr="00000000">
        <w:rPr>
          <w:rFonts w:ascii="Fraunces Light" w:cs="Fraunces Light" w:eastAsia="Fraunces Light" w:hAnsi="Fraunces Light"/>
          <w:vertAlign w:val="superscript"/>
        </w:rPr>
        <w:footnoteReference w:customMarkFollows="0" w:id="102"/>
      </w:r>
      <w:r w:rsidDel="00000000" w:rsidR="00000000" w:rsidRPr="00000000">
        <w:rPr>
          <w:rFonts w:ascii="Fraunces Light" w:cs="Fraunces Light" w:eastAsia="Fraunces Light" w:hAnsi="Fraunces Light"/>
          <w:rtl w:val="0"/>
        </w:rPr>
        <w:t xml:space="preserve"> The guidance further emphasized confidentiality, continuity of care, and provider training related to emergency treatment of abortion complications within public health systems.</w:t>
      </w:r>
      <w:r w:rsidDel="00000000" w:rsidR="00000000" w:rsidRPr="00000000">
        <w:rPr>
          <w:rFonts w:ascii="Fraunces Light" w:cs="Fraunces Light" w:eastAsia="Fraunces Light" w:hAnsi="Fraunces Light"/>
          <w:vertAlign w:val="superscript"/>
        </w:rPr>
        <w:footnoteReference w:customMarkFollows="0" w:id="103"/>
      </w:r>
      <w:r w:rsidDel="00000000" w:rsidR="00000000" w:rsidRPr="00000000">
        <w:rPr>
          <w:rtl w:val="0"/>
        </w:rPr>
      </w:r>
    </w:p>
    <w:p w:rsidR="00000000" w:rsidDel="00000000" w:rsidP="00000000" w:rsidRDefault="00000000" w:rsidRPr="00000000" w14:paraId="0000003D">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In 2013, however, the Kenyan Ministry of Health withdrew the guidelines and related training materials, including a curriculum used to train providers in safe abortion and post-abortion care practices.</w:t>
      </w:r>
      <w:r w:rsidDel="00000000" w:rsidR="00000000" w:rsidRPr="00000000">
        <w:rPr>
          <w:rFonts w:ascii="Fraunces Light" w:cs="Fraunces Light" w:eastAsia="Fraunces Light" w:hAnsi="Fraunces Light"/>
          <w:vertAlign w:val="superscript"/>
        </w:rPr>
        <w:footnoteReference w:customMarkFollows="0" w:id="104"/>
      </w:r>
      <w:r w:rsidDel="00000000" w:rsidR="00000000" w:rsidRPr="00000000">
        <w:rPr>
          <w:rFonts w:ascii="Fraunces Light" w:cs="Fraunces Light" w:eastAsia="Fraunces Light" w:hAnsi="Fraunces Light"/>
          <w:rtl w:val="0"/>
        </w:rPr>
        <w:t xml:space="preserve"> The Ministry also issued directives restricting participation in abortion-related training and conferences.</w:t>
      </w:r>
      <w:r w:rsidDel="00000000" w:rsidR="00000000" w:rsidRPr="00000000">
        <w:rPr>
          <w:rFonts w:ascii="Fraunces Light" w:cs="Fraunces Light" w:eastAsia="Fraunces Light" w:hAnsi="Fraunces Light"/>
          <w:vertAlign w:val="superscript"/>
        </w:rPr>
        <w:footnoteReference w:customMarkFollows="0" w:id="105"/>
      </w:r>
      <w:r w:rsidDel="00000000" w:rsidR="00000000" w:rsidRPr="00000000">
        <w:rPr>
          <w:rFonts w:ascii="Fraunces Light" w:cs="Fraunces Light" w:eastAsia="Fraunces Light" w:hAnsi="Fraunces Light"/>
          <w:rtl w:val="0"/>
        </w:rPr>
        <w:t xml:space="preserve"> The withdrawal generated uncertainty regarding the scope of lawful reproductive-health services and the standards governing emergency pregnancy-related care.</w:t>
      </w:r>
      <w:r w:rsidDel="00000000" w:rsidR="00000000" w:rsidRPr="00000000">
        <w:rPr>
          <w:rFonts w:ascii="Fraunces Light" w:cs="Fraunces Light" w:eastAsia="Fraunces Light" w:hAnsi="Fraunces Light"/>
          <w:vertAlign w:val="superscript"/>
        </w:rPr>
        <w:footnoteReference w:customMarkFollows="0" w:id="106"/>
      </w:r>
      <w:r w:rsidDel="00000000" w:rsidR="00000000" w:rsidRPr="00000000">
        <w:rPr>
          <w:rFonts w:ascii="Fraunces Light" w:cs="Fraunces Light" w:eastAsia="Fraunces Light" w:hAnsi="Fraunces Light"/>
          <w:rtl w:val="0"/>
        </w:rPr>
        <w:t xml:space="preserve"> Providers and advocacy organizations argued that removal of the guidance disrupted clinical training, undermined provider confidence, and created confusion regarding the legal and professional risks associated with treating patients experiencing abortion-related complications.</w:t>
      </w:r>
      <w:r w:rsidDel="00000000" w:rsidR="00000000" w:rsidRPr="00000000">
        <w:rPr>
          <w:rFonts w:ascii="Fraunces Light" w:cs="Fraunces Light" w:eastAsia="Fraunces Light" w:hAnsi="Fraunces Light"/>
          <w:vertAlign w:val="superscript"/>
        </w:rPr>
        <w:footnoteReference w:customMarkFollows="0" w:id="107"/>
      </w:r>
      <w:r w:rsidDel="00000000" w:rsidR="00000000" w:rsidRPr="00000000">
        <w:rPr>
          <w:rtl w:val="0"/>
        </w:rPr>
      </w:r>
    </w:p>
    <w:p w:rsidR="00000000" w:rsidDel="00000000" w:rsidP="00000000" w:rsidRDefault="00000000" w:rsidRPr="00000000" w14:paraId="0000003E">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Litigation challenging the withdrawal ultimately resulted in reinstatement of the standards and guidelines. The Kenyan High Court held that the withdrawal violated constitutional protections relating to health, access to information, scientific progress, and reproductive health care.</w:t>
      </w:r>
      <w:r w:rsidDel="00000000" w:rsidR="00000000" w:rsidRPr="00000000">
        <w:rPr>
          <w:rFonts w:ascii="Fraunces Light" w:cs="Fraunces Light" w:eastAsia="Fraunces Light" w:hAnsi="Fraunces Light"/>
          <w:vertAlign w:val="superscript"/>
        </w:rPr>
        <w:footnoteReference w:customMarkFollows="0" w:id="108"/>
      </w:r>
      <w:r w:rsidDel="00000000" w:rsidR="00000000" w:rsidRPr="00000000">
        <w:rPr>
          <w:rFonts w:ascii="Fraunces Light" w:cs="Fraunces Light" w:eastAsia="Fraunces Light" w:hAnsi="Fraunces Light"/>
          <w:rtl w:val="0"/>
        </w:rPr>
        <w:t xml:space="preserve"> In doing so, the court emphasized that access to accurate medical guidance and provider training was essential to ensuring the practical availability of reproductive health services.</w:t>
      </w:r>
      <w:r w:rsidDel="00000000" w:rsidR="00000000" w:rsidRPr="00000000">
        <w:rPr>
          <w:rFonts w:ascii="Fraunces Light" w:cs="Fraunces Light" w:eastAsia="Fraunces Light" w:hAnsi="Fraunces Light"/>
          <w:vertAlign w:val="superscript"/>
        </w:rPr>
        <w:footnoteReference w:customMarkFollows="0" w:id="109"/>
      </w:r>
      <w:r w:rsidDel="00000000" w:rsidR="00000000" w:rsidRPr="00000000">
        <w:rPr>
          <w:rFonts w:ascii="Fraunces Light" w:cs="Fraunces Light" w:eastAsia="Fraunces Light" w:hAnsi="Fraunces Light"/>
          <w:rtl w:val="0"/>
        </w:rPr>
        <w:t xml:space="preserve"> The court further recognized that withdrawal of clinical standards and training materials affected both providers and patients seeking emergency and post-abortion care.</w:t>
      </w:r>
      <w:r w:rsidDel="00000000" w:rsidR="00000000" w:rsidRPr="00000000">
        <w:rPr>
          <w:rFonts w:ascii="Fraunces Light" w:cs="Fraunces Light" w:eastAsia="Fraunces Light" w:hAnsi="Fraunces Light"/>
          <w:vertAlign w:val="superscript"/>
        </w:rPr>
        <w:footnoteReference w:customMarkFollows="0" w:id="110"/>
      </w:r>
      <w:r w:rsidDel="00000000" w:rsidR="00000000" w:rsidRPr="00000000">
        <w:rPr>
          <w:rFonts w:ascii="Fraunces Light" w:cs="Fraunces Light" w:eastAsia="Fraunces Light" w:hAnsi="Fraunces Light"/>
          <w:rtl w:val="0"/>
        </w:rPr>
        <w:t xml:space="preserve"> Commentators analyzing the decision observed that the absence of clear clinical guidance contributed to provider uncertainty and inconsistent delivery of reproductive-health services.</w:t>
      </w:r>
      <w:r w:rsidDel="00000000" w:rsidR="00000000" w:rsidRPr="00000000">
        <w:rPr>
          <w:rFonts w:ascii="Fraunces Light" w:cs="Fraunces Light" w:eastAsia="Fraunces Light" w:hAnsi="Fraunces Light"/>
          <w:vertAlign w:val="superscript"/>
        </w:rPr>
        <w:footnoteReference w:customMarkFollows="0" w:id="111"/>
      </w:r>
      <w:r w:rsidDel="00000000" w:rsidR="00000000" w:rsidRPr="00000000">
        <w:rPr>
          <w:rtl w:val="0"/>
        </w:rPr>
      </w:r>
    </w:p>
    <w:p w:rsidR="00000000" w:rsidDel="00000000" w:rsidP="00000000" w:rsidRDefault="00000000" w:rsidRPr="00000000" w14:paraId="0000003F">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 Kenyan experience illustrates how administrative actions affecting provider guidance and clinical training </w:t>
      </w:r>
      <w:r w:rsidDel="00000000" w:rsidR="00000000" w:rsidRPr="00000000">
        <w:rPr>
          <w:rtl w:val="0"/>
        </w:rPr>
        <w:t xml:space="preserve">can</w:t>
      </w:r>
      <w:r w:rsidDel="00000000" w:rsidR="00000000" w:rsidRPr="00000000">
        <w:rPr>
          <w:rFonts w:ascii="Fraunces Light" w:cs="Fraunces Light" w:eastAsia="Fraunces Light" w:hAnsi="Fraunces Light"/>
          <w:rtl w:val="0"/>
        </w:rPr>
        <w:t xml:space="preserve"> constrain access to care without directly prohibiting treatment itself. Withdrawal of official guidance disrupted provider education and generated uncertainty regarding permissible emergency reproductive treatment.</w:t>
      </w:r>
      <w:r w:rsidDel="00000000" w:rsidR="00000000" w:rsidRPr="00000000">
        <w:rPr>
          <w:rFonts w:ascii="Fraunces Light" w:cs="Fraunces Light" w:eastAsia="Fraunces Light" w:hAnsi="Fraunces Light"/>
          <w:vertAlign w:val="superscript"/>
        </w:rPr>
        <w:footnoteReference w:customMarkFollows="0" w:id="112"/>
      </w:r>
      <w:r w:rsidDel="00000000" w:rsidR="00000000" w:rsidRPr="00000000">
        <w:rPr>
          <w:rFonts w:ascii="Fraunces Light" w:cs="Fraunces Light" w:eastAsia="Fraunces Light" w:hAnsi="Fraunces Light"/>
          <w:rtl w:val="0"/>
        </w:rPr>
        <w:t xml:space="preserve"> Although Kenya’s constitutional and statutory framework differs substantially from that of the United States, the underlying governance pattern parallels the mechanisms examined in Sections IV and V: administrative systems and legal uncertainty may influence provider behavior and practical access to care even where treatment remains lawful.</w:t>
      </w:r>
    </w:p>
    <w:p w:rsidR="00000000" w:rsidDel="00000000" w:rsidP="00000000" w:rsidRDefault="00000000" w:rsidRPr="00000000" w14:paraId="00000040">
      <w:pPr>
        <w:pStyle w:val="Heading2"/>
        <w:spacing w:after="200" w:line="240" w:lineRule="auto"/>
        <w:rPr/>
      </w:pPr>
      <w:bookmarkStart w:colFirst="0" w:colLast="0" w:name="_ws9lihbkgekb" w:id="21"/>
      <w:bookmarkEnd w:id="21"/>
      <w:r w:rsidDel="00000000" w:rsidR="00000000" w:rsidRPr="00000000">
        <w:rPr>
          <w:rtl w:val="0"/>
        </w:rPr>
        <w:t xml:space="preserve">C. Human Rights Recognition of Reporting, Deterrence, and Barriers to Care</w:t>
      </w:r>
    </w:p>
    <w:p w:rsidR="00000000" w:rsidDel="00000000" w:rsidP="00000000" w:rsidRDefault="00000000" w:rsidRPr="00000000" w14:paraId="00000041">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International human rights bodies have recognized that reporting practices, fear of legal consequences, and restrictive reproductive-health guidelines may interfere with access to emergency reproductive care. In </w:t>
      </w:r>
      <w:r w:rsidDel="00000000" w:rsidR="00000000" w:rsidRPr="00000000">
        <w:rPr>
          <w:rFonts w:ascii="Fraunces Light" w:cs="Fraunces Light" w:eastAsia="Fraunces Light" w:hAnsi="Fraunces Light"/>
          <w:i w:val="1"/>
          <w:iCs w:val="1"/>
          <w:rtl w:val="0"/>
        </w:rPr>
        <w:t xml:space="preserve">Manuela v. El Salvador</w:t>
      </w:r>
      <w:r w:rsidDel="00000000" w:rsidR="00000000" w:rsidRPr="00000000">
        <w:rPr>
          <w:rFonts w:ascii="Fraunces Light" w:cs="Fraunces Light" w:eastAsia="Fraunces Light" w:hAnsi="Fraunces Light"/>
          <w:rtl w:val="0"/>
        </w:rPr>
        <w:t xml:space="preserve">, the Inter-American Commission on Human Rights examined the case of a woman who sought emergency medical treatment following an obstetric emergency and was subsequently reported by medical personnel, prosecuted for aggravated homicide, and imprisoned.</w:t>
      </w:r>
      <w:r w:rsidDel="00000000" w:rsidR="00000000" w:rsidRPr="00000000">
        <w:rPr>
          <w:rFonts w:ascii="Fraunces Light" w:cs="Fraunces Light" w:eastAsia="Fraunces Light" w:hAnsi="Fraunces Light"/>
          <w:vertAlign w:val="superscript"/>
        </w:rPr>
        <w:footnoteReference w:customMarkFollows="0" w:id="113"/>
      </w:r>
      <w:r w:rsidDel="00000000" w:rsidR="00000000" w:rsidRPr="00000000">
        <w:rPr>
          <w:rFonts w:ascii="Fraunces Light" w:cs="Fraunces Light" w:eastAsia="Fraunces Light" w:hAnsi="Fraunces Light"/>
          <w:rtl w:val="0"/>
        </w:rPr>
        <w:t xml:space="preserve"> The Commission concluded that the use of medical information in criminal proceedings contributed to violations of the rights to health, privacy, due process, and non-discrimination.</w:t>
      </w:r>
      <w:r w:rsidDel="00000000" w:rsidR="00000000" w:rsidRPr="00000000">
        <w:rPr>
          <w:rFonts w:ascii="Fraunces Light" w:cs="Fraunces Light" w:eastAsia="Fraunces Light" w:hAnsi="Fraunces Light"/>
          <w:vertAlign w:val="superscript"/>
        </w:rPr>
        <w:footnoteReference w:customMarkFollows="0" w:id="114"/>
      </w:r>
      <w:r w:rsidDel="00000000" w:rsidR="00000000" w:rsidRPr="00000000">
        <w:rPr>
          <w:rFonts w:ascii="Fraunces Light" w:cs="Fraunces Light" w:eastAsia="Fraunces Light" w:hAnsi="Fraunces Light"/>
          <w:rtl w:val="0"/>
        </w:rPr>
        <w:t xml:space="preserve"> The decision further emphasized that fear of criminal investigation and disclosure of medical information may deter individuals from seeking emergency reproductive-health treatment.</w:t>
      </w:r>
      <w:r w:rsidDel="00000000" w:rsidR="00000000" w:rsidRPr="00000000">
        <w:rPr>
          <w:rFonts w:ascii="Fraunces Light" w:cs="Fraunces Light" w:eastAsia="Fraunces Light" w:hAnsi="Fraunces Light"/>
          <w:vertAlign w:val="superscript"/>
        </w:rPr>
        <w:footnoteReference w:customMarkFollows="0" w:id="115"/>
      </w:r>
      <w:r w:rsidDel="00000000" w:rsidR="00000000" w:rsidRPr="00000000">
        <w:rPr>
          <w:rtl w:val="0"/>
        </w:rPr>
      </w:r>
    </w:p>
    <w:p w:rsidR="00000000" w:rsidDel="00000000" w:rsidP="00000000" w:rsidRDefault="00000000" w:rsidRPr="00000000" w14:paraId="00000042">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 concerns identified in </w:t>
      </w:r>
      <w:r w:rsidDel="00000000" w:rsidR="00000000" w:rsidRPr="00000000">
        <w:rPr>
          <w:rFonts w:ascii="Fraunces Light" w:cs="Fraunces Light" w:eastAsia="Fraunces Light" w:hAnsi="Fraunces Light"/>
          <w:i w:val="1"/>
          <w:iCs w:val="1"/>
          <w:rtl w:val="0"/>
        </w:rPr>
        <w:t xml:space="preserve">Manuela</w:t>
      </w:r>
      <w:r w:rsidDel="00000000" w:rsidR="00000000" w:rsidRPr="00000000">
        <w:rPr>
          <w:rFonts w:ascii="Fraunces Light" w:cs="Fraunces Light" w:eastAsia="Fraunces Light" w:hAnsi="Fraunces Light"/>
          <w:rtl w:val="0"/>
        </w:rPr>
        <w:t xml:space="preserve"> extend beyond direct criminal prohibitions. Human rights bodies and public-health authorities have repeatedly recognized that reporting practices and perceived legal exposure may discourage patients from seeking timely reproductive-health care.</w:t>
      </w:r>
      <w:r w:rsidDel="00000000" w:rsidR="00000000" w:rsidRPr="00000000">
        <w:rPr>
          <w:rFonts w:ascii="Fraunces Light" w:cs="Fraunces Light" w:eastAsia="Fraunces Light" w:hAnsi="Fraunces Light"/>
          <w:vertAlign w:val="superscript"/>
        </w:rPr>
        <w:footnoteReference w:customMarkFollows="0" w:id="116"/>
      </w:r>
      <w:r w:rsidDel="00000000" w:rsidR="00000000" w:rsidRPr="00000000">
        <w:rPr>
          <w:rFonts w:ascii="Fraunces Light" w:cs="Fraunces Light" w:eastAsia="Fraunces Light" w:hAnsi="Fraunces Light"/>
          <w:rtl w:val="0"/>
        </w:rPr>
        <w:t xml:space="preserve"> These pressures may be especially significant in emergency medical settings where patients experiencing pregnancy-related complications depend on prompt treatment and confidentiality protections.</w:t>
      </w:r>
      <w:r w:rsidDel="00000000" w:rsidR="00000000" w:rsidRPr="00000000">
        <w:rPr>
          <w:rFonts w:ascii="Fraunces Light" w:cs="Fraunces Light" w:eastAsia="Fraunces Light" w:hAnsi="Fraunces Light"/>
          <w:vertAlign w:val="superscript"/>
        </w:rPr>
        <w:footnoteReference w:customMarkFollows="0" w:id="117"/>
      </w:r>
      <w:r w:rsidDel="00000000" w:rsidR="00000000" w:rsidRPr="00000000">
        <w:rPr>
          <w:rFonts w:ascii="Fraunces Light" w:cs="Fraunces Light" w:eastAsia="Fraunces Light" w:hAnsi="Fraunces Light"/>
          <w:rtl w:val="0"/>
        </w:rPr>
        <w:t xml:space="preserve"> These concerns carry particular significance in the context of post-abortion and emergency pregnancy-related care, where patients require immediate treatment and providers frequently operate within legally sensitive clinical settings.</w:t>
      </w:r>
      <w:r w:rsidDel="00000000" w:rsidR="00000000" w:rsidRPr="00000000">
        <w:rPr>
          <w:rFonts w:ascii="Fraunces Light" w:cs="Fraunces Light" w:eastAsia="Fraunces Light" w:hAnsi="Fraunces Light"/>
          <w:vertAlign w:val="superscript"/>
        </w:rPr>
        <w:footnoteReference w:customMarkFollows="0" w:id="118"/>
      </w:r>
      <w:r w:rsidDel="00000000" w:rsidR="00000000" w:rsidRPr="00000000">
        <w:rPr>
          <w:rtl w:val="0"/>
        </w:rPr>
      </w:r>
    </w:p>
    <w:p w:rsidR="00000000" w:rsidDel="00000000" w:rsidP="00000000" w:rsidRDefault="00000000" w:rsidRPr="00000000" w14:paraId="00000043">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Unlike </w:t>
      </w:r>
      <w:r w:rsidDel="00000000" w:rsidR="00000000" w:rsidRPr="00000000">
        <w:rPr>
          <w:rFonts w:ascii="Fraunces Light" w:cs="Fraunces Light" w:eastAsia="Fraunces Light" w:hAnsi="Fraunces Light"/>
          <w:i w:val="1"/>
          <w:iCs w:val="1"/>
          <w:rtl w:val="0"/>
        </w:rPr>
        <w:t xml:space="preserve">Manuela</w:t>
      </w:r>
      <w:r w:rsidDel="00000000" w:rsidR="00000000" w:rsidRPr="00000000">
        <w:rPr>
          <w:rFonts w:ascii="Fraunces Light" w:cs="Fraunces Light" w:eastAsia="Fraunces Light" w:hAnsi="Fraunces Light"/>
          <w:rtl w:val="0"/>
        </w:rPr>
        <w:t xml:space="preserve">, which focused on reporting and criminal prosecution following emergency obstetric care, </w:t>
      </w:r>
      <w:r w:rsidDel="00000000" w:rsidR="00000000" w:rsidRPr="00000000">
        <w:rPr>
          <w:rFonts w:ascii="Fraunces Light" w:cs="Fraunces Light" w:eastAsia="Fraunces Light" w:hAnsi="Fraunces Light"/>
          <w:i w:val="1"/>
          <w:iCs w:val="1"/>
          <w:rtl w:val="0"/>
        </w:rPr>
        <w:t xml:space="preserve">Llantoy Huamán v. Peru</w:t>
      </w:r>
      <w:r w:rsidDel="00000000" w:rsidR="00000000" w:rsidRPr="00000000">
        <w:rPr>
          <w:rFonts w:ascii="Fraunces Light" w:cs="Fraunces Light" w:eastAsia="Fraunces Light" w:hAnsi="Fraunces Light"/>
          <w:rtl w:val="0"/>
        </w:rPr>
        <w:t xml:space="preserve"> illustrates how restrictive reproductive-health guidelines may obstruct access to medically necessary reproductive treatment.</w:t>
      </w:r>
      <w:r w:rsidDel="00000000" w:rsidR="00000000" w:rsidRPr="00000000">
        <w:rPr>
          <w:rFonts w:ascii="Fraunces Light" w:cs="Fraunces Light" w:eastAsia="Fraunces Light" w:hAnsi="Fraunces Light"/>
          <w:vertAlign w:val="superscript"/>
        </w:rPr>
        <w:footnoteReference w:customMarkFollows="0" w:id="119"/>
      </w:r>
      <w:r w:rsidDel="00000000" w:rsidR="00000000" w:rsidRPr="00000000">
        <w:rPr>
          <w:rFonts w:ascii="Fraunces Light" w:cs="Fraunces Light" w:eastAsia="Fraunces Light" w:hAnsi="Fraunces Light"/>
          <w:rtl w:val="0"/>
        </w:rPr>
        <w:t xml:space="preserve"> In </w:t>
      </w:r>
      <w:r w:rsidDel="00000000" w:rsidR="00000000" w:rsidRPr="00000000">
        <w:rPr>
          <w:rFonts w:ascii="Fraunces Light" w:cs="Fraunces Light" w:eastAsia="Fraunces Light" w:hAnsi="Fraunces Light"/>
          <w:i w:val="1"/>
          <w:iCs w:val="1"/>
          <w:rtl w:val="0"/>
        </w:rPr>
        <w:t xml:space="preserve">Llantoy Huamán</w:t>
      </w:r>
      <w:r w:rsidDel="00000000" w:rsidR="00000000" w:rsidRPr="00000000">
        <w:rPr>
          <w:rFonts w:ascii="Fraunces Light" w:cs="Fraunces Light" w:eastAsia="Fraunces Light" w:hAnsi="Fraunces Light"/>
          <w:rtl w:val="0"/>
        </w:rPr>
        <w:t xml:space="preserve">, the United Nations Human Rights Committee addressed denial of a medically indicated abortion despite severe fetal abnormalities, forcing the petitioner to continue the pregnancy and resulting in significant psychological harm.</w:t>
      </w:r>
      <w:r w:rsidDel="00000000" w:rsidR="00000000" w:rsidRPr="00000000">
        <w:rPr>
          <w:rFonts w:ascii="Fraunces Light" w:cs="Fraunces Light" w:eastAsia="Fraunces Light" w:hAnsi="Fraunces Light"/>
          <w:vertAlign w:val="superscript"/>
        </w:rPr>
        <w:footnoteReference w:customMarkFollows="0" w:id="120"/>
      </w:r>
      <w:r w:rsidDel="00000000" w:rsidR="00000000" w:rsidRPr="00000000">
        <w:rPr>
          <w:rFonts w:ascii="Fraunces Light" w:cs="Fraunces Light" w:eastAsia="Fraunces Light" w:hAnsi="Fraunces Light"/>
          <w:rtl w:val="0"/>
        </w:rPr>
        <w:t xml:space="preserve"> The Committee concluded that denial of medically necessary reproductive-health treatment violated protected human rights, including protections against cruel, inhuman, and degrading treatment.</w:t>
      </w:r>
      <w:r w:rsidDel="00000000" w:rsidR="00000000" w:rsidRPr="00000000">
        <w:rPr>
          <w:rFonts w:ascii="Fraunces Light" w:cs="Fraunces Light" w:eastAsia="Fraunces Light" w:hAnsi="Fraunces Light"/>
          <w:vertAlign w:val="superscript"/>
        </w:rPr>
        <w:footnoteReference w:customMarkFollows="0" w:id="121"/>
      </w:r>
      <w:r w:rsidDel="00000000" w:rsidR="00000000" w:rsidRPr="00000000">
        <w:rPr>
          <w:rFonts w:ascii="Fraunces Light" w:cs="Fraunces Light" w:eastAsia="Fraunces Light" w:hAnsi="Fraunces Light"/>
          <w:rtl w:val="0"/>
        </w:rPr>
        <w:t xml:space="preserve"> Although arising in a different factual context, the decision similarly reflects international recognition that restrictive legal systems and uncertainty surrounding reproductive care may interfere with access to medically necessary treatment.</w:t>
      </w:r>
      <w:r w:rsidDel="00000000" w:rsidR="00000000" w:rsidRPr="00000000">
        <w:rPr>
          <w:rFonts w:ascii="Fraunces Light" w:cs="Fraunces Light" w:eastAsia="Fraunces Light" w:hAnsi="Fraunces Light"/>
          <w:vertAlign w:val="superscript"/>
        </w:rPr>
        <w:footnoteReference w:customMarkFollows="0" w:id="122"/>
      </w:r>
      <w:r w:rsidDel="00000000" w:rsidR="00000000" w:rsidRPr="00000000">
        <w:rPr>
          <w:rtl w:val="0"/>
        </w:rPr>
      </w:r>
    </w:p>
    <w:p w:rsidR="00000000" w:rsidDel="00000000" w:rsidP="00000000" w:rsidRDefault="00000000" w:rsidRPr="00000000" w14:paraId="00000044">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These comparative examples demonstrate how reporting practices, disclosure-related deterrence, confidentiality concerns, and uncertainty surrounding lawful treatment may influence access to emergency reproductive care even where some forms of treatment remain practically available.</w:t>
      </w:r>
      <w:r w:rsidDel="00000000" w:rsidR="00000000" w:rsidRPr="00000000">
        <w:rPr>
          <w:rFonts w:ascii="Fraunces Light" w:cs="Fraunces Light" w:eastAsia="Fraunces Light" w:hAnsi="Fraunces Light"/>
          <w:vertAlign w:val="superscript"/>
        </w:rPr>
        <w:footnoteReference w:customMarkFollows="0" w:id="123"/>
      </w:r>
      <w:r w:rsidDel="00000000" w:rsidR="00000000" w:rsidRPr="00000000">
        <w:rPr>
          <w:rFonts w:ascii="Fraunces Light" w:cs="Fraunces Light" w:eastAsia="Fraunces Light" w:hAnsi="Fraunces Light"/>
          <w:rtl w:val="0"/>
        </w:rPr>
        <w:t xml:space="preserve"> Across these contexts, legal and administrative systems shaped not only the formal legality of care, but also the conditions under which patients and providers could safely seek, provide, and administer treatment.</w:t>
      </w:r>
      <w:r w:rsidDel="00000000" w:rsidR="00000000" w:rsidRPr="00000000">
        <w:rPr>
          <w:rFonts w:ascii="Fraunces Light" w:cs="Fraunces Light" w:eastAsia="Fraunces Light" w:hAnsi="Fraunces Light"/>
          <w:vertAlign w:val="superscript"/>
        </w:rPr>
        <w:footnoteReference w:customMarkFollows="0" w:id="124"/>
      </w:r>
      <w:r w:rsidDel="00000000" w:rsidR="00000000" w:rsidRPr="00000000">
        <w:rPr>
          <w:rtl w:val="0"/>
        </w:rPr>
      </w:r>
    </w:p>
    <w:p w:rsidR="00000000" w:rsidDel="00000000" w:rsidP="00000000" w:rsidRDefault="00000000" w:rsidRPr="00000000" w14:paraId="00000045">
      <w:pPr>
        <w:pStyle w:val="Heading2"/>
        <w:rPr/>
      </w:pPr>
      <w:bookmarkStart w:colFirst="0" w:colLast="0" w:name="_fhif48wdoz4l" w:id="22"/>
      <w:bookmarkEnd w:id="22"/>
      <w:r w:rsidDel="00000000" w:rsidR="00000000" w:rsidRPr="00000000">
        <w:rPr>
          <w:rtl w:val="0"/>
        </w:rPr>
        <w:t xml:space="preserve">D. Comparative Confirmation of Structural Mechanisms</w:t>
      </w:r>
    </w:p>
    <w:p w:rsidR="00000000" w:rsidDel="00000000" w:rsidP="00000000" w:rsidRDefault="00000000" w:rsidRPr="00000000" w14:paraId="00000046">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Taken together, these international examples reinforce the conclusion that access to post-abortion care depends not only on official legality, but on the broader legal and administrative systems through which care is delivered. The Kenyan experience demonstrates how withdrawal of provider guidance, disruption of clinical training, and administrative restrictions on reproductive-health information </w:t>
      </w:r>
      <w:r w:rsidDel="00000000" w:rsidR="00000000" w:rsidRPr="00000000">
        <w:rPr>
          <w:rtl w:val="0"/>
        </w:rPr>
        <w:t xml:space="preserve">can</w:t>
      </w:r>
      <w:r w:rsidDel="00000000" w:rsidR="00000000" w:rsidRPr="00000000">
        <w:rPr>
          <w:rFonts w:ascii="Fraunces Light" w:cs="Fraunces Light" w:eastAsia="Fraunces Light" w:hAnsi="Fraunces Light"/>
          <w:rtl w:val="0"/>
        </w:rPr>
        <w:t xml:space="preserve"> affect the practical availability of care.</w:t>
      </w:r>
      <w:r w:rsidDel="00000000" w:rsidR="00000000" w:rsidRPr="00000000">
        <w:rPr>
          <w:rFonts w:ascii="Fraunces Light" w:cs="Fraunces Light" w:eastAsia="Fraunces Light" w:hAnsi="Fraunces Light"/>
          <w:vertAlign w:val="superscript"/>
        </w:rPr>
        <w:footnoteReference w:customMarkFollows="0" w:id="125"/>
      </w:r>
      <w:r w:rsidDel="00000000" w:rsidR="00000000" w:rsidRPr="00000000">
        <w:rPr>
          <w:rFonts w:ascii="Fraunces Light" w:cs="Fraunces Light" w:eastAsia="Fraunces Light" w:hAnsi="Fraunces Light"/>
          <w:rtl w:val="0"/>
        </w:rPr>
        <w:t xml:space="preserve"> </w:t>
      </w:r>
      <w:r w:rsidDel="00000000" w:rsidR="00000000" w:rsidRPr="00000000">
        <w:rPr>
          <w:rFonts w:ascii="Fraunces Light" w:cs="Fraunces Light" w:eastAsia="Fraunces Light" w:hAnsi="Fraunces Light"/>
          <w:i w:val="1"/>
          <w:iCs w:val="1"/>
          <w:rtl w:val="0"/>
        </w:rPr>
        <w:t xml:space="preserve">Manuela</w:t>
      </w:r>
      <w:r w:rsidDel="00000000" w:rsidR="00000000" w:rsidRPr="00000000">
        <w:rPr>
          <w:rFonts w:ascii="Fraunces Light" w:cs="Fraunces Light" w:eastAsia="Fraunces Light" w:hAnsi="Fraunces Light"/>
          <w:rtl w:val="0"/>
        </w:rPr>
        <w:t xml:space="preserve"> and </w:t>
      </w:r>
      <w:r w:rsidDel="00000000" w:rsidR="00000000" w:rsidRPr="00000000">
        <w:rPr>
          <w:rFonts w:ascii="Fraunces Light" w:cs="Fraunces Light" w:eastAsia="Fraunces Light" w:hAnsi="Fraunces Light"/>
          <w:i w:val="1"/>
          <w:iCs w:val="1"/>
          <w:rtl w:val="0"/>
        </w:rPr>
        <w:t xml:space="preserve">Llantoy Huamán</w:t>
      </w:r>
      <w:r w:rsidDel="00000000" w:rsidR="00000000" w:rsidRPr="00000000">
        <w:rPr>
          <w:rFonts w:ascii="Fraunces Light" w:cs="Fraunces Light" w:eastAsia="Fraunces Light" w:hAnsi="Fraunces Light"/>
          <w:rtl w:val="0"/>
        </w:rPr>
        <w:t xml:space="preserve"> further illustrate how reporting practices, fear of prosecution, and restrictive legal frameworks may deter patients from seeking treatment or interfere with the provision of medically necessary reproductive-health care.</w:t>
      </w:r>
      <w:r w:rsidDel="00000000" w:rsidR="00000000" w:rsidRPr="00000000">
        <w:rPr>
          <w:rFonts w:ascii="Fraunces Light" w:cs="Fraunces Light" w:eastAsia="Fraunces Light" w:hAnsi="Fraunces Light"/>
          <w:vertAlign w:val="superscript"/>
        </w:rPr>
        <w:footnoteReference w:customMarkFollows="0" w:id="126"/>
      </w:r>
      <w:r w:rsidDel="00000000" w:rsidR="00000000" w:rsidRPr="00000000">
        <w:rPr>
          <w:rFonts w:ascii="Fraunces Light" w:cs="Fraunces Light" w:eastAsia="Fraunces Light" w:hAnsi="Fraunces Light"/>
          <w:rtl w:val="0"/>
        </w:rPr>
        <w:t xml:space="preserve"> Despite substantial doctrinal differences across jurisdictions, these examples demonstrate how legal and administrative systems may influence operational access to post-abortion care by shaping provider discretion, patient behavior, and continuity of care.</w:t>
      </w:r>
      <w:r w:rsidDel="00000000" w:rsidR="00000000" w:rsidRPr="00000000">
        <w:rPr>
          <w:rFonts w:ascii="Fraunces Light" w:cs="Fraunces Light" w:eastAsia="Fraunces Light" w:hAnsi="Fraunces Light"/>
          <w:vertAlign w:val="superscript"/>
        </w:rPr>
        <w:footnoteReference w:customMarkFollows="0" w:id="127"/>
      </w:r>
      <w:r w:rsidDel="00000000" w:rsidR="00000000" w:rsidRPr="00000000">
        <w:rPr>
          <w:rtl w:val="0"/>
        </w:rPr>
      </w:r>
    </w:p>
    <w:p w:rsidR="00000000" w:rsidDel="00000000" w:rsidP="00000000" w:rsidRDefault="00000000" w:rsidRPr="00000000" w14:paraId="00000047">
      <w:pPr>
        <w:pStyle w:val="Heading1"/>
        <w:spacing w:after="200" w:line="240" w:lineRule="auto"/>
        <w:rPr/>
      </w:pPr>
      <w:bookmarkStart w:colFirst="0" w:colLast="0" w:name="_32j1oiz0nnsh" w:id="23"/>
      <w:bookmarkEnd w:id="23"/>
      <w:r w:rsidDel="00000000" w:rsidR="00000000" w:rsidRPr="00000000">
        <w:rPr>
          <w:rtl w:val="0"/>
        </w:rPr>
        <w:t xml:space="preserve">VI. Broader Governance and Structural Implications</w:t>
      </w:r>
    </w:p>
    <w:p w:rsidR="00000000" w:rsidDel="00000000" w:rsidP="00000000" w:rsidRDefault="00000000" w:rsidRPr="00000000" w14:paraId="00000048">
      <w:pPr>
        <w:pStyle w:val="Heading2"/>
        <w:spacing w:after="200" w:line="240" w:lineRule="auto"/>
        <w:rPr/>
      </w:pPr>
      <w:bookmarkStart w:colFirst="0" w:colLast="0" w:name="_r4by3vht5rex" w:id="24"/>
      <w:bookmarkEnd w:id="24"/>
      <w:r w:rsidDel="00000000" w:rsidR="00000000" w:rsidRPr="00000000">
        <w:rPr>
          <w:rtl w:val="0"/>
        </w:rPr>
        <w:t xml:space="preserve">A. Administrative Systems, Confidentiality, and Institutional Trust</w:t>
      </w:r>
    </w:p>
    <w:p w:rsidR="00000000" w:rsidDel="00000000" w:rsidP="00000000" w:rsidRDefault="00000000" w:rsidRPr="00000000" w14:paraId="00000049">
      <w:pPr>
        <w:spacing w:after="200" w:line="480" w:lineRule="auto"/>
        <w:ind w:left="0" w:firstLine="720"/>
        <w:jc w:val="both"/>
        <w:rPr>
          <w:rFonts w:ascii="Fraunces Light" w:cs="Fraunces Light" w:eastAsia="Fraunces Light" w:hAnsi="Fraunces Light"/>
        </w:rPr>
      </w:pPr>
      <w:r w:rsidDel="00000000" w:rsidR="00000000" w:rsidRPr="00000000">
        <w:rPr>
          <w:rtl w:val="0"/>
        </w:rPr>
        <w:t xml:space="preserve">The mechanisms examined throughout this analysis carry implications extending beyond individual eligibility determinations or isolated treatment decisions. Where reproductive-health administration becomes intertwined with reporting obligations, enforcement risk, or pregnancy-outcome verification systems, patients and providers may no longer perceive health-care institutions solely as sites of confidential medical treatment. Patients experiencing pregnancy complications may hesitate to seek care if reproductive-health information could affect eligibility, trigger reporting obligations, or expose them to potential legal scrutiny, while providers may operate within increasingly compliance-oriented clinical environments.</w:t>
      </w:r>
      <w:r w:rsidDel="00000000" w:rsidR="00000000" w:rsidRPr="00000000">
        <w:rPr>
          <w:vertAlign w:val="superscript"/>
        </w:rPr>
        <w:footnoteReference w:customMarkFollows="0" w:id="128"/>
      </w:r>
      <w:r w:rsidDel="00000000" w:rsidR="00000000" w:rsidRPr="00000000">
        <w:rPr>
          <w:rtl w:val="0"/>
        </w:rPr>
        <w:t xml:space="preserve"> Public-health authorities and international medical organizations have repeatedly emphasized that confidentiality protections and institutional trust are essential to ensuring timely access to emergency reproductive-health care.</w:t>
      </w:r>
      <w:r w:rsidDel="00000000" w:rsidR="00000000" w:rsidRPr="00000000">
        <w:rPr>
          <w:vertAlign w:val="superscript"/>
        </w:rPr>
        <w:footnoteReference w:customMarkFollows="0" w:id="129"/>
      </w:r>
      <w:r w:rsidDel="00000000" w:rsidR="00000000" w:rsidRPr="00000000">
        <w:rPr>
          <w:rtl w:val="0"/>
        </w:rPr>
        <w:t xml:space="preserve"> As administrative oversight and legal exposure become more closely integrated with reproductive-health delivery, health-care systems may increasingly carry both therapeutic and regulatory functions, potentially affecting provider-patient relationships, confidence in clinical confidentiality, and willingness to seek treatment.</w:t>
      </w:r>
      <w:r w:rsidDel="00000000" w:rsidR="00000000" w:rsidRPr="00000000">
        <w:rPr>
          <w:vertAlign w:val="superscript"/>
        </w:rPr>
        <w:footnoteReference w:customMarkFollows="0" w:id="130"/>
      </w:r>
      <w:r w:rsidDel="00000000" w:rsidR="00000000" w:rsidRPr="00000000">
        <w:rPr>
          <w:rtl w:val="0"/>
        </w:rPr>
      </w:r>
    </w:p>
    <w:p w:rsidR="00000000" w:rsidDel="00000000" w:rsidP="00000000" w:rsidRDefault="00000000" w:rsidRPr="00000000" w14:paraId="0000004A">
      <w:pPr>
        <w:pStyle w:val="Heading2"/>
        <w:rPr/>
      </w:pPr>
      <w:bookmarkStart w:colFirst="0" w:colLast="0" w:name="_fqdbjak6g5h5" w:id="25"/>
      <w:bookmarkEnd w:id="25"/>
      <w:r w:rsidDel="00000000" w:rsidR="00000000" w:rsidRPr="00000000">
        <w:rPr>
          <w:rtl w:val="0"/>
        </w:rPr>
        <w:t xml:space="preserve">B. Formal Legality and Effective Access</w:t>
      </w:r>
    </w:p>
    <w:p w:rsidR="00000000" w:rsidDel="00000000" w:rsidP="00000000" w:rsidRDefault="00000000" w:rsidRPr="00000000" w14:paraId="0000004B">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 examples examined throughout this paper demonstrate that formal legality alone does not necessarily ensure meaningful access to post-abortion care. In each jurisdiction discussed, some form of emergency or post-abortion treatment remained </w:t>
      </w:r>
      <w:r w:rsidDel="00000000" w:rsidR="00000000" w:rsidRPr="00000000">
        <w:rPr>
          <w:rFonts w:ascii="Fraunces Light" w:cs="Fraunces Light" w:eastAsia="Fraunces Light" w:hAnsi="Fraunces Light"/>
          <w:i w:val="1"/>
          <w:iCs w:val="1"/>
          <w:rtl w:val="0"/>
        </w:rPr>
        <w:t xml:space="preserve">technically</w:t>
      </w:r>
      <w:r w:rsidDel="00000000" w:rsidR="00000000" w:rsidRPr="00000000">
        <w:rPr>
          <w:rFonts w:ascii="Fraunces Light" w:cs="Fraunces Light" w:eastAsia="Fraunces Light" w:hAnsi="Fraunces Light"/>
          <w:rtl w:val="0"/>
        </w:rPr>
        <w:t xml:space="preserve"> lawful. Yet, the practical conditions governing access to care varied substantially depending on how legal and administrative systems structured eligibility, documentation, reporting, enforcement, and provider discretion.</w:t>
      </w:r>
      <w:r w:rsidDel="00000000" w:rsidR="00000000" w:rsidRPr="00000000">
        <w:rPr>
          <w:rFonts w:ascii="Fraunces Light" w:cs="Fraunces Light" w:eastAsia="Fraunces Light" w:hAnsi="Fraunces Light"/>
          <w:vertAlign w:val="superscript"/>
        </w:rPr>
        <w:footnoteReference w:customMarkFollows="0" w:id="131"/>
      </w:r>
      <w:r w:rsidDel="00000000" w:rsidR="00000000" w:rsidRPr="00000000">
        <w:rPr>
          <w:rtl w:val="0"/>
        </w:rPr>
      </w:r>
    </w:p>
    <w:p w:rsidR="00000000" w:rsidDel="00000000" w:rsidP="00000000" w:rsidRDefault="00000000" w:rsidRPr="00000000" w14:paraId="0000004C">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This distinction between formal legality and effective access is particularly significant in emergency reproductive-health settings because treatment frequently depends on rapid clinical judgment, continuity of care, and patient willingness to seek medical assistance.</w:t>
      </w:r>
      <w:r w:rsidDel="00000000" w:rsidR="00000000" w:rsidRPr="00000000">
        <w:rPr>
          <w:rFonts w:ascii="Fraunces Light" w:cs="Fraunces Light" w:eastAsia="Fraunces Light" w:hAnsi="Fraunces Light"/>
          <w:vertAlign w:val="superscript"/>
        </w:rPr>
        <w:footnoteReference w:customMarkFollows="0" w:id="132"/>
      </w:r>
      <w:r w:rsidDel="00000000" w:rsidR="00000000" w:rsidRPr="00000000">
        <w:rPr>
          <w:rFonts w:ascii="Fraunces Light" w:cs="Fraunces Light" w:eastAsia="Fraunces Light" w:hAnsi="Fraunces Light"/>
          <w:rtl w:val="0"/>
        </w:rPr>
        <w:t xml:space="preserve"> Administrative systems requiring pregnancy-outcome verification and reporting structures increasing perceived legal risk can affect the real-world accessibility of care even absent direct criminal prohibitions.</w:t>
      </w:r>
      <w:r w:rsidDel="00000000" w:rsidR="00000000" w:rsidRPr="00000000">
        <w:rPr>
          <w:rFonts w:ascii="Fraunces Light" w:cs="Fraunces Light" w:eastAsia="Fraunces Light" w:hAnsi="Fraunces Light"/>
          <w:vertAlign w:val="superscript"/>
        </w:rPr>
        <w:footnoteReference w:customMarkFollows="0" w:id="133"/>
      </w:r>
      <w:r w:rsidDel="00000000" w:rsidR="00000000" w:rsidRPr="00000000">
        <w:rPr>
          <w:rFonts w:ascii="Fraunces Light" w:cs="Fraunces Light" w:eastAsia="Fraunces Light" w:hAnsi="Fraunces Light"/>
          <w:rtl w:val="0"/>
        </w:rPr>
        <w:t xml:space="preserve"> Legal systems creating uncertainty regarding permissible intervention may similarly shape provider behavior and patient willingness to seek treatment.</w:t>
      </w:r>
      <w:r w:rsidDel="00000000" w:rsidR="00000000" w:rsidRPr="00000000">
        <w:rPr>
          <w:rFonts w:ascii="Fraunces Light" w:cs="Fraunces Light" w:eastAsia="Fraunces Light" w:hAnsi="Fraunces Light"/>
          <w:vertAlign w:val="superscript"/>
        </w:rPr>
        <w:footnoteReference w:customMarkFollows="0" w:id="134"/>
      </w:r>
      <w:r w:rsidDel="00000000" w:rsidR="00000000" w:rsidRPr="00000000">
        <w:rPr>
          <w:rtl w:val="0"/>
        </w:rPr>
      </w:r>
    </w:p>
    <w:p w:rsidR="00000000" w:rsidDel="00000000" w:rsidP="00000000" w:rsidRDefault="00000000" w:rsidRPr="00000000" w14:paraId="0000004D">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 comparative experiences discussed in Sections IV and VI further demonstrate that these dynamics are not confined to any single legal system or regulatory model. Across jurisdictions, administrative governance mechanisms shaped the practical availability of reproductive-health care by influencing provider behavior, institutional practices, and patient willingness to seek treatment.</w:t>
      </w:r>
      <w:r w:rsidDel="00000000" w:rsidR="00000000" w:rsidRPr="00000000">
        <w:rPr>
          <w:rFonts w:ascii="Fraunces Light" w:cs="Fraunces Light" w:eastAsia="Fraunces Light" w:hAnsi="Fraunces Light"/>
          <w:vertAlign w:val="superscript"/>
        </w:rPr>
        <w:footnoteReference w:customMarkFollows="0" w:id="135"/>
      </w:r>
      <w:r w:rsidDel="00000000" w:rsidR="00000000" w:rsidRPr="00000000">
        <w:rPr>
          <w:rFonts w:ascii="Fraunces Light" w:cs="Fraunces Light" w:eastAsia="Fraunces Light" w:hAnsi="Fraunces Light"/>
          <w:rtl w:val="0"/>
        </w:rPr>
        <w:t xml:space="preserve"> Reproductive-health regulation therefore operates not only through direct prohibitions, but also through the interaction of health-care administration, legal uncertainty, and enforcement environments.</w:t>
      </w:r>
    </w:p>
    <w:p w:rsidR="00000000" w:rsidDel="00000000" w:rsidP="00000000" w:rsidRDefault="00000000" w:rsidRPr="00000000" w14:paraId="0000004E">
      <w:pPr>
        <w:pStyle w:val="Heading2"/>
        <w:rPr/>
      </w:pPr>
      <w:bookmarkStart w:colFirst="0" w:colLast="0" w:name="_bwuahbnf1hs" w:id="26"/>
      <w:bookmarkEnd w:id="26"/>
      <w:r w:rsidDel="00000000" w:rsidR="00000000" w:rsidRPr="00000000">
        <w:rPr>
          <w:rtl w:val="0"/>
        </w:rPr>
        <w:t xml:space="preserve">C. Post-</w:t>
      </w:r>
      <w:r w:rsidDel="00000000" w:rsidR="00000000" w:rsidRPr="00000000">
        <w:rPr>
          <w:i w:val="1"/>
          <w:iCs w:val="1"/>
          <w:rtl w:val="0"/>
        </w:rPr>
        <w:t xml:space="preserve">Dobbs</w:t>
      </w:r>
      <w:r w:rsidDel="00000000" w:rsidR="00000000" w:rsidRPr="00000000">
        <w:rPr>
          <w:rtl w:val="0"/>
        </w:rPr>
        <w:t xml:space="preserve"> Governance and Indirect Regulation</w:t>
      </w:r>
    </w:p>
    <w:p w:rsidR="00000000" w:rsidDel="00000000" w:rsidP="00000000" w:rsidRDefault="00000000" w:rsidRPr="00000000" w14:paraId="0000004F">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 post-</w:t>
      </w:r>
      <w:r w:rsidDel="00000000" w:rsidR="00000000" w:rsidRPr="00000000">
        <w:rPr>
          <w:rFonts w:ascii="Fraunces Light" w:cs="Fraunces Light" w:eastAsia="Fraunces Light" w:hAnsi="Fraunces Light"/>
          <w:i w:val="1"/>
          <w:iCs w:val="1"/>
          <w:rtl w:val="0"/>
        </w:rPr>
        <w:t xml:space="preserve">Dobbs</w:t>
      </w:r>
      <w:r w:rsidDel="00000000" w:rsidR="00000000" w:rsidRPr="00000000">
        <w:rPr>
          <w:rFonts w:ascii="Fraunces Light" w:cs="Fraunces Light" w:eastAsia="Fraunces Light" w:hAnsi="Fraunces Light"/>
          <w:rtl w:val="0"/>
        </w:rPr>
        <w:t xml:space="preserve"> legal landscape has expanded the role of state administrative systems in regulating reproductive health care.</w:t>
      </w:r>
      <w:r w:rsidDel="00000000" w:rsidR="00000000" w:rsidRPr="00000000">
        <w:rPr>
          <w:rFonts w:ascii="Fraunces Light" w:cs="Fraunces Light" w:eastAsia="Fraunces Light" w:hAnsi="Fraunces Light"/>
          <w:vertAlign w:val="superscript"/>
        </w:rPr>
        <w:footnoteReference w:customMarkFollows="0" w:id="136"/>
      </w:r>
      <w:r w:rsidDel="00000000" w:rsidR="00000000" w:rsidRPr="00000000">
        <w:rPr>
          <w:rFonts w:ascii="Fraunces Light" w:cs="Fraunces Light" w:eastAsia="Fraunces Light" w:hAnsi="Fraunces Light"/>
          <w:rtl w:val="0"/>
        </w:rPr>
        <w:t xml:space="preserve"> Medicaid eligibility guidelines, provider attestation requirements, reporting obligations, and enforcement mechanisms now operate within broader legal environments in which pregnancy outcomes carry increased legal significance.</w:t>
      </w:r>
      <w:r w:rsidDel="00000000" w:rsidR="00000000" w:rsidRPr="00000000">
        <w:rPr>
          <w:rFonts w:ascii="Fraunces Light" w:cs="Fraunces Light" w:eastAsia="Fraunces Light" w:hAnsi="Fraunces Light"/>
          <w:vertAlign w:val="superscript"/>
        </w:rPr>
        <w:footnoteReference w:customMarkFollows="0" w:id="137"/>
      </w:r>
      <w:r w:rsidDel="00000000" w:rsidR="00000000" w:rsidRPr="00000000">
        <w:rPr>
          <w:rFonts w:ascii="Fraunces Light" w:cs="Fraunces Light" w:eastAsia="Fraunces Light" w:hAnsi="Fraunces Light"/>
          <w:rtl w:val="0"/>
        </w:rPr>
        <w:t xml:space="preserve"> Systems historically designed to administer benefits or regulate professional compliance can therefore also structure the practical accessibility of reproductive-health treatment.</w:t>
      </w:r>
      <w:r w:rsidDel="00000000" w:rsidR="00000000" w:rsidRPr="00000000">
        <w:rPr>
          <w:rFonts w:ascii="Fraunces Light" w:cs="Fraunces Light" w:eastAsia="Fraunces Light" w:hAnsi="Fraunces Light"/>
          <w:vertAlign w:val="superscript"/>
        </w:rPr>
        <w:footnoteReference w:customMarkFollows="0" w:id="138"/>
      </w:r>
      <w:r w:rsidDel="00000000" w:rsidR="00000000" w:rsidRPr="00000000">
        <w:rPr>
          <w:rtl w:val="0"/>
        </w:rPr>
      </w:r>
    </w:p>
    <w:p w:rsidR="00000000" w:rsidDel="00000000" w:rsidP="00000000" w:rsidRDefault="00000000" w:rsidRPr="00000000" w14:paraId="00000050">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 state examples examined throughout this paper demonstrate different forms of this indirect regulatory process. Idaho attempted to incorporate pregnancy-outcome distinctions into Medicaid eligibility administration.</w:t>
      </w:r>
      <w:r w:rsidDel="00000000" w:rsidR="00000000" w:rsidRPr="00000000">
        <w:rPr>
          <w:rFonts w:ascii="Fraunces Light" w:cs="Fraunces Light" w:eastAsia="Fraunces Light" w:hAnsi="Fraunces Light"/>
          <w:vertAlign w:val="superscript"/>
        </w:rPr>
        <w:footnoteReference w:customMarkFollows="0" w:id="139"/>
      </w:r>
      <w:r w:rsidDel="00000000" w:rsidR="00000000" w:rsidRPr="00000000">
        <w:rPr>
          <w:rFonts w:ascii="Fraunces Light" w:cs="Fraunces Light" w:eastAsia="Fraunces Light" w:hAnsi="Fraunces Light"/>
          <w:rtl w:val="0"/>
        </w:rPr>
        <w:t xml:space="preserve"> Texas illustrates how overlapping civil and criminal enforcement structures can influence emergency treatment decisions even where statutory exceptions preserve access to care.</w:t>
      </w:r>
      <w:r w:rsidDel="00000000" w:rsidR="00000000" w:rsidRPr="00000000">
        <w:rPr>
          <w:rFonts w:ascii="Fraunces Light" w:cs="Fraunces Light" w:eastAsia="Fraunces Light" w:hAnsi="Fraunces Light"/>
          <w:vertAlign w:val="superscript"/>
        </w:rPr>
        <w:footnoteReference w:customMarkFollows="0" w:id="140"/>
      </w:r>
      <w:r w:rsidDel="00000000" w:rsidR="00000000" w:rsidRPr="00000000">
        <w:rPr>
          <w:rFonts w:ascii="Fraunces Light" w:cs="Fraunces Light" w:eastAsia="Fraunces Light" w:hAnsi="Fraunces Light"/>
          <w:rtl w:val="0"/>
        </w:rPr>
        <w:t xml:space="preserve"> Oklahoma’s attestation requirements similarly position providers within expanded compliance frameworks tied to abortion-related regulation.</w:t>
      </w:r>
      <w:r w:rsidDel="00000000" w:rsidR="00000000" w:rsidRPr="00000000">
        <w:rPr>
          <w:rFonts w:ascii="Fraunces Light" w:cs="Fraunces Light" w:eastAsia="Fraunces Light" w:hAnsi="Fraunces Light"/>
          <w:vertAlign w:val="superscript"/>
        </w:rPr>
        <w:footnoteReference w:customMarkFollows="0" w:id="141"/>
      </w:r>
      <w:r w:rsidDel="00000000" w:rsidR="00000000" w:rsidRPr="00000000">
        <w:rPr>
          <w:rFonts w:ascii="Fraunces Light" w:cs="Fraunces Light" w:eastAsia="Fraunces Light" w:hAnsi="Fraunces Light"/>
          <w:rtl w:val="0"/>
        </w:rPr>
        <w:t xml:space="preserve"> Although these systems operate through different legal mechanisms, each demonstrates how reproductive-health governance increasingly occurs through administrative structures shaping provider conduct, documentation practices, eligibility determinations, and patient access to treatment.</w:t>
      </w:r>
      <w:r w:rsidDel="00000000" w:rsidR="00000000" w:rsidRPr="00000000">
        <w:rPr>
          <w:rFonts w:ascii="Fraunces Light" w:cs="Fraunces Light" w:eastAsia="Fraunces Light" w:hAnsi="Fraunces Light"/>
          <w:vertAlign w:val="superscript"/>
        </w:rPr>
        <w:footnoteReference w:customMarkFollows="0" w:id="142"/>
      </w:r>
      <w:r w:rsidDel="00000000" w:rsidR="00000000" w:rsidRPr="00000000">
        <w:rPr>
          <w:rtl w:val="0"/>
        </w:rPr>
      </w:r>
    </w:p>
    <w:p w:rsidR="00000000" w:rsidDel="00000000" w:rsidP="00000000" w:rsidRDefault="00000000" w:rsidRPr="00000000" w14:paraId="00000051">
      <w:pPr>
        <w:spacing w:after="200" w:line="480" w:lineRule="auto"/>
        <w:ind w:left="0" w:firstLine="720"/>
        <w:jc w:val="both"/>
        <w:rPr>
          <w:rFonts w:ascii="Fraunces Light" w:cs="Fraunces Light" w:eastAsia="Fraunces Light" w:hAnsi="Fraunces Light"/>
        </w:rPr>
      </w:pPr>
      <w:r w:rsidDel="00000000" w:rsidR="00000000" w:rsidRPr="00000000">
        <w:rPr>
          <w:rFonts w:ascii="Fraunces Light" w:cs="Fraunces Light" w:eastAsia="Fraunces Light" w:hAnsi="Fraunces Light"/>
          <w:rtl w:val="0"/>
        </w:rPr>
        <w:t xml:space="preserve">These developments carry implications extending beyond abortion law alone. In the post-</w:t>
      </w:r>
      <w:r w:rsidDel="00000000" w:rsidR="00000000" w:rsidRPr="00000000">
        <w:rPr>
          <w:rFonts w:ascii="Fraunces Light" w:cs="Fraunces Light" w:eastAsia="Fraunces Light" w:hAnsi="Fraunces Light"/>
          <w:i w:val="1"/>
          <w:iCs w:val="1"/>
          <w:rtl w:val="0"/>
        </w:rPr>
        <w:t xml:space="preserve">Dobbs</w:t>
      </w:r>
      <w:r w:rsidDel="00000000" w:rsidR="00000000" w:rsidRPr="00000000">
        <w:rPr>
          <w:rFonts w:ascii="Fraunces Light" w:cs="Fraunces Light" w:eastAsia="Fraunces Light" w:hAnsi="Fraunces Light"/>
          <w:rtl w:val="0"/>
        </w:rPr>
        <w:t xml:space="preserve"> environment, reproductive-health governance increasingly operates not only through direct statutory prohibitions, but also through administrative and healthcare-regulatory systems structuring eligibility, documentation, provider compliance, and enforcement exposure.</w:t>
      </w:r>
      <w:r w:rsidDel="00000000" w:rsidR="00000000" w:rsidRPr="00000000">
        <w:rPr>
          <w:rFonts w:ascii="Fraunces Light" w:cs="Fraunces Light" w:eastAsia="Fraunces Light" w:hAnsi="Fraunces Light"/>
          <w:vertAlign w:val="superscript"/>
        </w:rPr>
        <w:footnoteReference w:customMarkFollows="0" w:id="143"/>
      </w:r>
      <w:r w:rsidDel="00000000" w:rsidR="00000000" w:rsidRPr="00000000">
        <w:rPr>
          <w:rFonts w:ascii="Fraunces Light" w:cs="Fraunces Light" w:eastAsia="Fraunces Light" w:hAnsi="Fraunces Light"/>
          <w:rtl w:val="0"/>
        </w:rPr>
        <w:t xml:space="preserve"> In this way, post-</w:t>
      </w:r>
      <w:r w:rsidDel="00000000" w:rsidR="00000000" w:rsidRPr="00000000">
        <w:rPr>
          <w:rFonts w:ascii="Fraunces Light" w:cs="Fraunces Light" w:eastAsia="Fraunces Light" w:hAnsi="Fraunces Light"/>
          <w:i w:val="1"/>
          <w:iCs w:val="1"/>
          <w:rtl w:val="0"/>
        </w:rPr>
        <w:t xml:space="preserve">Dobbs</w:t>
      </w:r>
      <w:r w:rsidDel="00000000" w:rsidR="00000000" w:rsidRPr="00000000">
        <w:rPr>
          <w:rFonts w:ascii="Fraunces Light" w:cs="Fraunces Light" w:eastAsia="Fraunces Light" w:hAnsi="Fraunces Light"/>
          <w:rtl w:val="0"/>
        </w:rPr>
        <w:t xml:space="preserve"> reproductive governance increasingly functions through healthcare administration and federal-state implementation systems in addition to traditional criminal prohibitions.</w:t>
      </w:r>
      <w:r w:rsidDel="00000000" w:rsidR="00000000" w:rsidRPr="00000000">
        <w:rPr>
          <w:rFonts w:ascii="Fraunces Light" w:cs="Fraunces Light" w:eastAsia="Fraunces Light" w:hAnsi="Fraunces Light"/>
          <w:vertAlign w:val="superscript"/>
        </w:rPr>
        <w:footnoteReference w:customMarkFollows="0" w:id="144"/>
      </w:r>
      <w:r w:rsidDel="00000000" w:rsidR="00000000" w:rsidRPr="00000000">
        <w:rPr>
          <w:rFonts w:ascii="Fraunces Light" w:cs="Fraunces Light" w:eastAsia="Fraunces Light" w:hAnsi="Fraunces Light"/>
          <w:rtl w:val="0"/>
        </w:rPr>
        <w:t xml:space="preserve"> Systems originally designed to administer benefits and regulate professional conduct may therefore operate as mechanisms shaping reproductive-health access. The result is not necessarily direct prohibition of post-abortion care, but the emergence of legal and administrative environments capable of constraining effective access even where treatment remains lawful.</w:t>
      </w:r>
      <w:r w:rsidDel="00000000" w:rsidR="00000000" w:rsidRPr="00000000">
        <w:rPr>
          <w:rFonts w:ascii="Fraunces Light" w:cs="Fraunces Light" w:eastAsia="Fraunces Light" w:hAnsi="Fraunces Light"/>
          <w:vertAlign w:val="superscript"/>
        </w:rPr>
        <w:footnoteReference w:customMarkFollows="0" w:id="145"/>
      </w:r>
      <w:r w:rsidDel="00000000" w:rsidR="00000000" w:rsidRPr="00000000">
        <w:rPr>
          <w:rtl w:val="0"/>
        </w:rPr>
      </w:r>
    </w:p>
    <w:p w:rsidR="00000000" w:rsidDel="00000000" w:rsidP="00000000" w:rsidRDefault="00000000" w:rsidRPr="00000000" w14:paraId="00000052">
      <w:pPr>
        <w:pStyle w:val="Heading1"/>
        <w:spacing w:after="200" w:line="240" w:lineRule="auto"/>
        <w:rPr/>
      </w:pPr>
      <w:bookmarkStart w:colFirst="0" w:colLast="0" w:name="_5dy5f15w0tlr" w:id="27"/>
      <w:bookmarkEnd w:id="27"/>
      <w:r w:rsidDel="00000000" w:rsidR="00000000" w:rsidRPr="00000000">
        <w:rPr>
          <w:rtl w:val="0"/>
        </w:rPr>
        <w:t xml:space="preserve">VII. Conclusion</w:t>
      </w:r>
    </w:p>
    <w:p w:rsidR="00000000" w:rsidDel="00000000" w:rsidP="00000000" w:rsidRDefault="00000000" w:rsidRPr="00000000" w14:paraId="00000053">
      <w:pPr>
        <w:spacing w:after="200" w:line="480" w:lineRule="auto"/>
        <w:ind w:left="0" w:firstLine="720"/>
        <w:jc w:val="both"/>
        <w:rPr/>
      </w:pPr>
      <w:r w:rsidDel="00000000" w:rsidR="00000000" w:rsidRPr="00000000">
        <w:rPr>
          <w:rtl w:val="0"/>
        </w:rPr>
        <w:t xml:space="preserve">Federal law and public-health guidance generally structure post-abortion care as part of routine, outcome-neutral health care. Emergency treatment obligations require providers to respond to clinical need, while Medicaid postpartum coverage extends eligibility without regard to how a pregnancy ended. Yet the post-</w:t>
      </w:r>
      <w:r w:rsidDel="00000000" w:rsidR="00000000" w:rsidRPr="00000000">
        <w:rPr>
          <w:i w:val="1"/>
          <w:iCs w:val="1"/>
          <w:rtl w:val="0"/>
        </w:rPr>
        <w:t xml:space="preserve">Dobbs</w:t>
      </w:r>
      <w:r w:rsidDel="00000000" w:rsidR="00000000" w:rsidRPr="00000000">
        <w:rPr>
          <w:rtl w:val="0"/>
        </w:rPr>
        <w:t xml:space="preserve"> legal landscape demonstrates that health-care frameworks structured around clinical neutrality may nevertheless be reshaped through the regulatory systems surrounding reproductive-health delivery. The examples examined throughout this paper illustrate how eligibility classifications, restrictive enforcement environments, provider-compliance obligations, and reporting practices can affect the practical conditions under which post-abortion care is delivered and accessed across both domestic and international contexts.</w:t>
      </w:r>
    </w:p>
    <w:p w:rsidR="00000000" w:rsidDel="00000000" w:rsidP="00000000" w:rsidRDefault="00000000" w:rsidRPr="00000000" w14:paraId="00000054">
      <w:pPr>
        <w:spacing w:after="200" w:line="480" w:lineRule="auto"/>
        <w:ind w:left="0" w:firstLine="720"/>
        <w:jc w:val="both"/>
        <w:rPr/>
      </w:pPr>
      <w:r w:rsidDel="00000000" w:rsidR="00000000" w:rsidRPr="00000000">
        <w:rPr>
          <w:rtl w:val="0"/>
        </w:rPr>
        <w:t xml:space="preserve">The significance of these developments extends beyond reproductive health alone. The post-</w:t>
      </w:r>
      <w:r w:rsidDel="00000000" w:rsidR="00000000" w:rsidRPr="00000000">
        <w:rPr>
          <w:i w:val="1"/>
          <w:iCs w:val="1"/>
          <w:rtl w:val="0"/>
        </w:rPr>
        <w:t xml:space="preserve">Dobbs</w:t>
      </w:r>
      <w:r w:rsidDel="00000000" w:rsidR="00000000" w:rsidRPr="00000000">
        <w:rPr>
          <w:rtl w:val="0"/>
        </w:rPr>
        <w:t xml:space="preserve"> landscape illustrates how entitlement-based health-care systems may be indirectly transformed without formally altering the underlying legal entitlement itself. Reproductive-health regulation increasingly operates not only through statutory prohibitions, but also through the institutional systems governing health-care delivery. The result is a regulatory landscape in which the administration of health-care systems increasingly functions as a site of reproductive governance, complicating the traditional distinction between medical treatment and legal regulation.</w:t>
      </w:r>
    </w:p>
    <w:sectPr>
      <w:footerReference r:id="rId7" w:type="default"/>
      <w:foot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Fraunce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Fraunces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Fraunces SemiBol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Fraunces Light">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5">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w:t>
      </w:r>
    </w:p>
  </w:footnote>
  <w:footnote w:id="1">
    <w:p w:rsidR="00000000" w:rsidDel="00000000" w:rsidP="00000000" w:rsidRDefault="00000000" w:rsidRPr="00000000" w14:paraId="00000056">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Id.</w:t>
      </w:r>
    </w:p>
  </w:footnote>
  <w:footnote w:id="2">
    <w:p w:rsidR="00000000" w:rsidDel="00000000" w:rsidP="00000000" w:rsidRDefault="00000000" w:rsidRPr="00000000" w14:paraId="00000057">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American College of Obstetricians and Gynecologists, Practice Bulletin No. 200: Early Pregnancy Loss (2018, reaffirmed 2021); Am. Coll. of Obstetricians &amp; Gynecologists, Practice Bulletin No. 225: Medication Abortion Up to 70 Days of Gestation (2020).</w:t>
      </w:r>
    </w:p>
  </w:footnote>
  <w:footnote w:id="3">
    <w:p w:rsidR="00000000" w:rsidDel="00000000" w:rsidP="00000000" w:rsidRDefault="00000000" w:rsidRPr="00000000" w14:paraId="00000058">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w:t>
      </w:r>
    </w:p>
  </w:footnote>
  <w:footnote w:id="4">
    <w:p w:rsidR="00000000" w:rsidDel="00000000" w:rsidP="00000000" w:rsidRDefault="00000000" w:rsidRPr="00000000" w14:paraId="00000059">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1395dd.</w:t>
      </w:r>
    </w:p>
  </w:footnote>
  <w:footnote w:id="5">
    <w:p w:rsidR="00000000" w:rsidDel="00000000" w:rsidP="00000000" w:rsidRDefault="00000000" w:rsidRPr="00000000" w14:paraId="0000005A">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1396a(e)(5).</w:t>
      </w:r>
    </w:p>
  </w:footnote>
  <w:footnote w:id="6">
    <w:p w:rsidR="00000000" w:rsidDel="00000000" w:rsidP="00000000" w:rsidRDefault="00000000" w:rsidRPr="00000000" w14:paraId="0000005B">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1396a(e)(16); American Rescue Plan Act of 2021, Pub. L. No. 117-2, § 9812.</w:t>
      </w:r>
    </w:p>
  </w:footnote>
  <w:footnote w:id="7">
    <w:p w:rsidR="00000000" w:rsidDel="00000000" w:rsidP="00000000" w:rsidRDefault="00000000" w:rsidRPr="00000000" w14:paraId="0000005C">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 Int’l Fed’n of Gynecology &amp; Obstetrics, Ethical Issues in Obstetrics and Gynecology (2019).</w:t>
      </w:r>
    </w:p>
  </w:footnote>
  <w:footnote w:id="8">
    <w:p w:rsidR="00000000" w:rsidDel="00000000" w:rsidP="00000000" w:rsidRDefault="00000000" w:rsidRPr="00000000" w14:paraId="0000005D">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Dobbs v. Jackson Women’s Health Org</w:t>
      </w:r>
      <w:r w:rsidDel="00000000" w:rsidR="00000000" w:rsidRPr="00000000">
        <w:rPr>
          <w:rFonts w:ascii="Fraunces Light" w:cs="Fraunces Light" w:eastAsia="Fraunces Light" w:hAnsi="Fraunces Light"/>
          <w:color w:val="000000"/>
          <w:sz w:val="20"/>
          <w:szCs w:val="20"/>
          <w:rtl w:val="0"/>
        </w:rPr>
        <w:t xml:space="preserve">., 597 U.S. 215 (2022).</w:t>
      </w:r>
    </w:p>
  </w:footnote>
  <w:footnote w:id="9">
    <w:p w:rsidR="00000000" w:rsidDel="00000000" w:rsidP="00000000" w:rsidRDefault="00000000" w:rsidRPr="00000000" w14:paraId="0000005E">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Letter from Daniel Tsai, Deputy Adm’r &amp; Dir., Ctrs. for Medicare &amp; Medicaid Servs., to Alexandra Adams, Dir., Idaho Dep’t of Health &amp; Welfare (Feb. 21, 2025); Okla. Exec. Order No. 2025-16; </w:t>
      </w:r>
      <w:r w:rsidDel="00000000" w:rsidR="00000000" w:rsidRPr="00000000">
        <w:rPr>
          <w:rFonts w:ascii="Fraunces Light" w:cs="Fraunces Light" w:eastAsia="Fraunces Light" w:hAnsi="Fraunces Light"/>
          <w:i w:val="1"/>
          <w:iCs w:val="1"/>
          <w:color w:val="000000"/>
          <w:sz w:val="20"/>
          <w:szCs w:val="20"/>
          <w:rtl w:val="0"/>
        </w:rPr>
        <w:t xml:space="preserve">Zurawski v. Texas</w:t>
      </w:r>
      <w:r w:rsidDel="00000000" w:rsidR="00000000" w:rsidRPr="00000000">
        <w:rPr>
          <w:rFonts w:ascii="Fraunces Light" w:cs="Fraunces Light" w:eastAsia="Fraunces Light" w:hAnsi="Fraunces Light"/>
          <w:color w:val="000000"/>
          <w:sz w:val="20"/>
          <w:szCs w:val="20"/>
          <w:rtl w:val="0"/>
        </w:rPr>
        <w:t xml:space="preserve">, No. D-1-GN-23-000968 (Tex. Dist. Ct. filed 2023).</w:t>
      </w:r>
    </w:p>
  </w:footnote>
  <w:footnote w:id="10">
    <w:p w:rsidR="00000000" w:rsidDel="00000000" w:rsidP="00000000" w:rsidRDefault="00000000" w:rsidRPr="00000000" w14:paraId="0000005F">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Colautti v. Franklin, </w:t>
      </w:r>
      <w:r w:rsidDel="00000000" w:rsidR="00000000" w:rsidRPr="00000000">
        <w:rPr>
          <w:rFonts w:ascii="Fraunces Light" w:cs="Fraunces Light" w:eastAsia="Fraunces Light" w:hAnsi="Fraunces Light"/>
          <w:color w:val="000000"/>
          <w:sz w:val="20"/>
          <w:szCs w:val="20"/>
          <w:rtl w:val="0"/>
        </w:rPr>
        <w:t xml:space="preserve">439 U.S. 379 (1979); World Health Organization, Abortion Care Guideline (2022).</w:t>
      </w:r>
    </w:p>
  </w:footnote>
  <w:footnote w:id="11">
    <w:p w:rsidR="00000000" w:rsidDel="00000000" w:rsidP="00000000" w:rsidRDefault="00000000" w:rsidRPr="00000000" w14:paraId="00000060">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Am. Coll. of Obstetricians &amp; Gynecologists, Practice Bulletin No. 200: Early Pregnancy Loss (2018, reaffirmed 2021).</w:t>
      </w:r>
    </w:p>
  </w:footnote>
  <w:footnote w:id="12">
    <w:p w:rsidR="00000000" w:rsidDel="00000000" w:rsidP="00000000" w:rsidRDefault="00000000" w:rsidRPr="00000000" w14:paraId="00000061">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42 U.S.C. § 1395dd.</w:t>
      </w:r>
    </w:p>
  </w:footnote>
  <w:footnote w:id="13">
    <w:p w:rsidR="00000000" w:rsidDel="00000000" w:rsidP="00000000" w:rsidRDefault="00000000" w:rsidRPr="00000000" w14:paraId="00000062">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42 U.S.C. § 1395dd(e)(1).</w:t>
      </w:r>
    </w:p>
  </w:footnote>
  <w:footnote w:id="14">
    <w:p w:rsidR="00000000" w:rsidDel="00000000" w:rsidP="00000000" w:rsidRDefault="00000000" w:rsidRPr="00000000" w14:paraId="00000063">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Ctrs. for Medicare &amp; Medicaid Servs., State Operations Manual app. V: Interpretive Guidelines—Responsibilities of Medicare Participating Hospitals in Emergency Cases.</w:t>
      </w:r>
    </w:p>
  </w:footnote>
  <w:footnote w:id="15">
    <w:p w:rsidR="00000000" w:rsidDel="00000000" w:rsidP="00000000" w:rsidRDefault="00000000" w:rsidRPr="00000000" w14:paraId="00000064">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42 U.S.C. § 1395dd.</w:t>
      </w:r>
    </w:p>
  </w:footnote>
  <w:footnote w:id="16">
    <w:p w:rsidR="00000000" w:rsidDel="00000000" w:rsidP="00000000" w:rsidRDefault="00000000" w:rsidRPr="00000000" w14:paraId="00000065">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Ctrs. for Medicare &amp; Medicaid Servs., State Operations Manual app. V: Interpretive Guidelines—Responsibilities of Medicare Participating Hospitals in Emergency Cases.</w:t>
      </w:r>
    </w:p>
  </w:footnote>
  <w:footnote w:id="17">
    <w:p w:rsidR="00000000" w:rsidDel="00000000" w:rsidP="00000000" w:rsidRDefault="00000000" w:rsidRPr="00000000" w14:paraId="00000066">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Am. Coll. of Obstetricians &amp; Gynecologists, Practice Bulletin No. 200: Early Pregnancy Loss (2018, reaffirmed 2021).</w:t>
      </w:r>
    </w:p>
  </w:footnote>
  <w:footnote w:id="18">
    <w:p w:rsidR="00000000" w:rsidDel="00000000" w:rsidP="00000000" w:rsidRDefault="00000000" w:rsidRPr="00000000" w14:paraId="00000067">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r w:rsidDel="00000000" w:rsidR="00000000" w:rsidRPr="00000000">
        <w:rPr>
          <w:rFonts w:ascii="Fraunces Light" w:cs="Fraunces Light" w:eastAsia="Fraunces Light" w:hAnsi="Fraunces Light"/>
          <w:color w:val="000000"/>
          <w:sz w:val="20"/>
          <w:szCs w:val="20"/>
          <w:rtl w:val="0"/>
        </w:rPr>
        <w:t xml:space="preserve">; Am. Coll. of Obstetricians &amp; Gynecologists, Practice Bulletin No. 225: Medication Abortion Up to 70 Days of Gestation (2020).</w:t>
      </w:r>
    </w:p>
  </w:footnote>
  <w:footnote w:id="19">
    <w:p w:rsidR="00000000" w:rsidDel="00000000" w:rsidP="00000000" w:rsidRDefault="00000000" w:rsidRPr="00000000" w14:paraId="00000068">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20">
    <w:p w:rsidR="00000000" w:rsidDel="00000000" w:rsidP="00000000" w:rsidRDefault="00000000" w:rsidRPr="00000000" w14:paraId="00000069">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WHO, Abortion Care Guideline (2022).</w:t>
      </w:r>
    </w:p>
  </w:footnote>
  <w:footnote w:id="21">
    <w:p w:rsidR="00000000" w:rsidDel="00000000" w:rsidP="00000000" w:rsidRDefault="00000000" w:rsidRPr="00000000" w14:paraId="0000006A">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22">
    <w:p w:rsidR="00000000" w:rsidDel="00000000" w:rsidP="00000000" w:rsidRDefault="00000000" w:rsidRPr="00000000" w14:paraId="0000006B">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ACOG Practice Bulletin No. 200; World Health Organization, Abortion Care Guideline (2022).</w:t>
      </w:r>
    </w:p>
  </w:footnote>
  <w:footnote w:id="23">
    <w:p w:rsidR="00000000" w:rsidDel="00000000" w:rsidP="00000000" w:rsidRDefault="00000000" w:rsidRPr="00000000" w14:paraId="0000006C">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American Rescue Plan Act of 2021, Pub. L. No. 117-2, § 9812;  42 U.S.C. § 1396a(e)(5); 42 U.S.C. § 1396a(e)(16).</w:t>
      </w:r>
    </w:p>
  </w:footnote>
  <w:footnote w:id="24">
    <w:p w:rsidR="00000000" w:rsidDel="00000000" w:rsidP="00000000" w:rsidRDefault="00000000" w:rsidRPr="00000000" w14:paraId="0000006D">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Centers for Disease Control &amp; Prevention, Pregnancy-Related Deaths: Data from Maternal Mortality Review Committees.</w:t>
      </w:r>
    </w:p>
  </w:footnote>
  <w:footnote w:id="25">
    <w:p w:rsidR="00000000" w:rsidDel="00000000" w:rsidP="00000000" w:rsidRDefault="00000000" w:rsidRPr="00000000" w14:paraId="0000006E">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CMS SHO #21-007 (Dec. 7, 2021).</w:t>
      </w:r>
    </w:p>
  </w:footnote>
  <w:footnote w:id="26">
    <w:p w:rsidR="00000000" w:rsidDel="00000000" w:rsidP="00000000" w:rsidRDefault="00000000" w:rsidRPr="00000000" w14:paraId="0000006F">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Int’l Fed’n of Gynecology &amp; Obstetrics, Ethical Issues in Obstetrics and Gynecology (2019).</w:t>
      </w:r>
    </w:p>
  </w:footnote>
  <w:footnote w:id="27">
    <w:p w:rsidR="00000000" w:rsidDel="00000000" w:rsidP="00000000" w:rsidRDefault="00000000" w:rsidRPr="00000000" w14:paraId="00000070">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WHO, Abortion Care Guideline (2022).</w:t>
      </w:r>
    </w:p>
  </w:footnote>
  <w:footnote w:id="28">
    <w:p w:rsidR="00000000" w:rsidDel="00000000" w:rsidP="00000000" w:rsidRDefault="00000000" w:rsidRPr="00000000" w14:paraId="00000071">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Int’l Fed’n of Gynecology &amp; Obstetrics, Ethical Issues in Obstetrics and Gynecology (2019).</w:t>
      </w:r>
    </w:p>
  </w:footnote>
  <w:footnote w:id="29">
    <w:p w:rsidR="00000000" w:rsidDel="00000000" w:rsidP="00000000" w:rsidRDefault="00000000" w:rsidRPr="00000000" w14:paraId="00000072">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45 C.F.R. §§ 160, 164.</w:t>
      </w:r>
    </w:p>
  </w:footnote>
  <w:footnote w:id="30">
    <w:p w:rsidR="00000000" w:rsidDel="00000000" w:rsidP="00000000" w:rsidRDefault="00000000" w:rsidRPr="00000000" w14:paraId="00000073">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Colautti v. Franklin, </w:t>
      </w:r>
      <w:r w:rsidDel="00000000" w:rsidR="00000000" w:rsidRPr="00000000">
        <w:rPr>
          <w:rFonts w:ascii="Fraunces Light" w:cs="Fraunces Light" w:eastAsia="Fraunces Light" w:hAnsi="Fraunces Light"/>
          <w:color w:val="000000"/>
          <w:sz w:val="20"/>
          <w:szCs w:val="20"/>
          <w:rtl w:val="0"/>
        </w:rPr>
        <w:t xml:space="preserve">439 U.S. 379 (1979); </w:t>
      </w:r>
      <w:r w:rsidDel="00000000" w:rsidR="00000000" w:rsidRPr="00000000">
        <w:rPr>
          <w:rFonts w:ascii="Fraunces Light" w:cs="Fraunces Light" w:eastAsia="Fraunces Light" w:hAnsi="Fraunces Light"/>
          <w:i w:val="1"/>
          <w:iCs w:val="1"/>
          <w:color w:val="000000"/>
          <w:sz w:val="20"/>
          <w:szCs w:val="20"/>
          <w:rtl w:val="0"/>
        </w:rPr>
        <w:t xml:space="preserve">Stenberg v. Carhart</w:t>
      </w:r>
      <w:r w:rsidDel="00000000" w:rsidR="00000000" w:rsidRPr="00000000">
        <w:rPr>
          <w:rFonts w:ascii="Fraunces Light" w:cs="Fraunces Light" w:eastAsia="Fraunces Light" w:hAnsi="Fraunces Light"/>
          <w:color w:val="000000"/>
          <w:sz w:val="20"/>
          <w:szCs w:val="20"/>
          <w:rtl w:val="0"/>
        </w:rPr>
        <w:t xml:space="preserve">, 530 U.S. 914 (2000).</w:t>
      </w:r>
    </w:p>
  </w:footnote>
  <w:footnote w:id="31">
    <w:p w:rsidR="00000000" w:rsidDel="00000000" w:rsidP="00000000" w:rsidRDefault="00000000" w:rsidRPr="00000000" w14:paraId="00000074">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Am. Coll. of Obstetricians &amp; Gynecologists, Practice Bulletin No. 200: Early Pregnancy Loss (2018, reaffirmed 2021).</w:t>
      </w:r>
    </w:p>
  </w:footnote>
  <w:footnote w:id="32">
    <w:p w:rsidR="00000000" w:rsidDel="00000000" w:rsidP="00000000" w:rsidRDefault="00000000" w:rsidRPr="00000000" w14:paraId="00000075">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 et seq.</w:t>
      </w:r>
    </w:p>
  </w:footnote>
  <w:footnote w:id="33">
    <w:p w:rsidR="00000000" w:rsidDel="00000000" w:rsidP="00000000" w:rsidRDefault="00000000" w:rsidRPr="00000000" w14:paraId="00000076">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1396a(a)(10)(A).</w:t>
      </w:r>
    </w:p>
  </w:footnote>
  <w:footnote w:id="34">
    <w:p w:rsidR="00000000" w:rsidDel="00000000" w:rsidP="00000000" w:rsidRDefault="00000000" w:rsidRPr="00000000" w14:paraId="00000077">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1396a(a)(10)(A)(i)(III).</w:t>
      </w:r>
    </w:p>
  </w:footnote>
  <w:footnote w:id="35">
    <w:p w:rsidR="00000000" w:rsidDel="00000000" w:rsidP="00000000" w:rsidRDefault="00000000" w:rsidRPr="00000000" w14:paraId="00000078">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1396a(e)(5).</w:t>
      </w:r>
    </w:p>
  </w:footnote>
  <w:footnote w:id="36">
    <w:p w:rsidR="00000000" w:rsidDel="00000000" w:rsidP="00000000" w:rsidRDefault="00000000" w:rsidRPr="00000000" w14:paraId="00000079">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37">
    <w:p w:rsidR="00000000" w:rsidDel="00000000" w:rsidP="00000000" w:rsidRDefault="00000000" w:rsidRPr="00000000" w14:paraId="0000007A">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American Rescue Plan Act of 2021, Pub. L. No. 117-2, § 9812; 42 U.S.C. § 1396a(e)(16).</w:t>
      </w:r>
    </w:p>
  </w:footnote>
  <w:footnote w:id="38">
    <w:p w:rsidR="00000000" w:rsidDel="00000000" w:rsidP="00000000" w:rsidRDefault="00000000" w:rsidRPr="00000000" w14:paraId="0000007B">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39">
    <w:p w:rsidR="00000000" w:rsidDel="00000000" w:rsidP="00000000" w:rsidRDefault="00000000" w:rsidRPr="00000000" w14:paraId="0000007C">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1396a(e)(5), (e)(16).</w:t>
      </w:r>
    </w:p>
  </w:footnote>
  <w:footnote w:id="40">
    <w:p w:rsidR="00000000" w:rsidDel="00000000" w:rsidP="00000000" w:rsidRDefault="00000000" w:rsidRPr="00000000" w14:paraId="0000007D">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CMS, State Health Official Letter #21-007 (Dec. 7, 2021).</w:t>
      </w:r>
    </w:p>
  </w:footnote>
  <w:footnote w:id="41">
    <w:p w:rsidR="00000000" w:rsidDel="00000000" w:rsidP="00000000" w:rsidRDefault="00000000" w:rsidRPr="00000000" w14:paraId="0000007E">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1396a.</w:t>
      </w:r>
    </w:p>
  </w:footnote>
  <w:footnote w:id="42">
    <w:p w:rsidR="00000000" w:rsidDel="00000000" w:rsidP="00000000" w:rsidRDefault="00000000" w:rsidRPr="00000000" w14:paraId="0000007F">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CMS, State Health Official Letter #21-007 (Dec. 7, 2021); 42 U.S.C. § 1316.</w:t>
      </w:r>
    </w:p>
  </w:footnote>
  <w:footnote w:id="43">
    <w:p w:rsidR="00000000" w:rsidDel="00000000" w:rsidP="00000000" w:rsidRDefault="00000000" w:rsidRPr="00000000" w14:paraId="00000080">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44">
    <w:p w:rsidR="00000000" w:rsidDel="00000000" w:rsidP="00000000" w:rsidRDefault="00000000" w:rsidRPr="00000000" w14:paraId="00000081">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1396c.</w:t>
      </w:r>
    </w:p>
  </w:footnote>
  <w:footnote w:id="45">
    <w:p w:rsidR="00000000" w:rsidDel="00000000" w:rsidP="00000000" w:rsidRDefault="00000000" w:rsidRPr="00000000" w14:paraId="00000082">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1396c; CMS, State Health Official Letter #21-007 (Dec. 7, 2021)</w:t>
      </w:r>
    </w:p>
  </w:footnote>
  <w:footnote w:id="46">
    <w:p w:rsidR="00000000" w:rsidDel="00000000" w:rsidP="00000000" w:rsidRDefault="00000000" w:rsidRPr="00000000" w14:paraId="00000083">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1396a(a)(10).</w:t>
      </w:r>
    </w:p>
  </w:footnote>
  <w:footnote w:id="47">
    <w:p w:rsidR="00000000" w:rsidDel="00000000" w:rsidP="00000000" w:rsidRDefault="00000000" w:rsidRPr="00000000" w14:paraId="00000084">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American Rescue Plan Act of 2021, Pub. L. No. 117-2, § 9812; CMS, State Health Official Letter #21-007 (Dec. 7, 2021).</w:t>
      </w:r>
    </w:p>
  </w:footnote>
  <w:footnote w:id="48">
    <w:p w:rsidR="00000000" w:rsidDel="00000000" w:rsidP="00000000" w:rsidRDefault="00000000" w:rsidRPr="00000000" w14:paraId="00000085">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49">
    <w:p w:rsidR="00000000" w:rsidDel="00000000" w:rsidP="00000000" w:rsidRDefault="00000000" w:rsidRPr="00000000" w14:paraId="00000086">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1396a(e)(5), (e)(16).</w:t>
      </w:r>
    </w:p>
  </w:footnote>
  <w:footnote w:id="50">
    <w:p w:rsidR="00000000" w:rsidDel="00000000" w:rsidP="00000000" w:rsidRDefault="00000000" w:rsidRPr="00000000" w14:paraId="00000087">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CMS, State Health Official Letter #21-007 (Dec. 7, 2021).</w:t>
      </w:r>
    </w:p>
  </w:footnote>
  <w:footnote w:id="51">
    <w:p w:rsidR="00000000" w:rsidDel="00000000" w:rsidP="00000000" w:rsidRDefault="00000000" w:rsidRPr="00000000" w14:paraId="00000088">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52">
    <w:p w:rsidR="00000000" w:rsidDel="00000000" w:rsidP="00000000" w:rsidRDefault="00000000" w:rsidRPr="00000000" w14:paraId="00000089">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Centers. for Disease Control &amp; Prevention, Pregnancy-Related Deaths: Data from Maternal Mortality Review Committees.</w:t>
      </w:r>
    </w:p>
  </w:footnote>
  <w:footnote w:id="53">
    <w:p w:rsidR="00000000" w:rsidDel="00000000" w:rsidP="00000000" w:rsidRDefault="00000000" w:rsidRPr="00000000" w14:paraId="0000008A">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r w:rsidDel="00000000" w:rsidR="00000000" w:rsidRPr="00000000">
        <w:rPr>
          <w:rFonts w:ascii="Fraunces Light" w:cs="Fraunces Light" w:eastAsia="Fraunces Light" w:hAnsi="Fraunces Light"/>
          <w:color w:val="000000"/>
          <w:sz w:val="20"/>
          <w:szCs w:val="20"/>
          <w:rtl w:val="0"/>
        </w:rPr>
        <w:t xml:space="preserve">; CMS, State Health Official Letter #21-007 (Dec. 7, 2021).</w:t>
      </w:r>
    </w:p>
  </w:footnote>
  <w:footnote w:id="54">
    <w:p w:rsidR="00000000" w:rsidDel="00000000" w:rsidP="00000000" w:rsidRDefault="00000000" w:rsidRPr="00000000" w14:paraId="0000008B">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Ctrs. for Disease Control &amp; Prevention, Pregnancy-Related Mortality Surveillance System.</w:t>
      </w:r>
    </w:p>
  </w:footnote>
  <w:footnote w:id="55">
    <w:p w:rsidR="00000000" w:rsidDel="00000000" w:rsidP="00000000" w:rsidRDefault="00000000" w:rsidRPr="00000000" w14:paraId="0000008C">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56">
    <w:p w:rsidR="00000000" w:rsidDel="00000000" w:rsidP="00000000" w:rsidRDefault="00000000" w:rsidRPr="00000000" w14:paraId="0000008D">
      <w:pPr>
        <w:spacing w:line="240" w:lineRule="auto"/>
        <w:ind w:left="0" w:firstLine="0"/>
        <w:rPr>
          <w:color w:val="000000"/>
          <w:sz w:val="20"/>
          <w:szCs w:val="20"/>
        </w:rPr>
      </w:pPr>
      <w:r w:rsidDel="00000000" w:rsidR="00000000" w:rsidRPr="00000000">
        <w:rPr>
          <w:rStyle w:val="FootnoteReference"/>
          <w:vertAlign w:val="superscript"/>
        </w:rPr>
        <w:footnoteRef/>
      </w:r>
      <w:r w:rsidDel="00000000" w:rsidR="00000000" w:rsidRPr="00000000">
        <w:rPr>
          <w:color w:val="000000"/>
          <w:sz w:val="20"/>
          <w:szCs w:val="20"/>
          <w:rtl w:val="0"/>
        </w:rPr>
        <w:t xml:space="preserve">American Rescue Plan Act of 2021, Pub. L. No. 117-2, § 9812.</w:t>
      </w:r>
    </w:p>
  </w:footnote>
  <w:footnote w:id="57">
    <w:p w:rsidR="00000000" w:rsidDel="00000000" w:rsidP="00000000" w:rsidRDefault="00000000" w:rsidRPr="00000000" w14:paraId="0000008E">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American Rescue Plan Act of 2021, Pub. L. No. 117-2, § 9812; CMS, State Health Official Letter #21-007 (Dec. 7, 2021).</w:t>
      </w:r>
    </w:p>
  </w:footnote>
  <w:footnote w:id="58">
    <w:p w:rsidR="00000000" w:rsidDel="00000000" w:rsidP="00000000" w:rsidRDefault="00000000" w:rsidRPr="00000000" w14:paraId="0000008F">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Ctrs. for Disease Control &amp; Prevention, Pregnancy-Related Mortality Surveillance System; World Health Organization, Abortion Care Guideline (2022).</w:t>
      </w:r>
    </w:p>
  </w:footnote>
  <w:footnote w:id="59">
    <w:p w:rsidR="00000000" w:rsidDel="00000000" w:rsidP="00000000" w:rsidRDefault="00000000" w:rsidRPr="00000000" w14:paraId="00000090">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American Rescue Plan Act of 2021, Pub. L. No. 117-2, § 9812; H.B. 633, 67th Leg., 2d Reg. Sess. (Idaho 2024)</w:t>
      </w:r>
    </w:p>
  </w:footnote>
  <w:footnote w:id="60">
    <w:p w:rsidR="00000000" w:rsidDel="00000000" w:rsidP="00000000" w:rsidRDefault="00000000" w:rsidRPr="00000000" w14:paraId="00000091">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1396a(e)(16)</w:t>
      </w:r>
    </w:p>
  </w:footnote>
  <w:footnote w:id="61">
    <w:p w:rsidR="00000000" w:rsidDel="00000000" w:rsidP="00000000" w:rsidRDefault="00000000" w:rsidRPr="00000000" w14:paraId="00000092">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Letter from Daniel Tsai, Deputy Adm’r &amp; Dir., Ctrs. for Medicare &amp; Medicaid Servs., to Alexandra Adams, Dir., Idaho Dep’t of Health &amp; Welfare (Feb. 21, 2025).</w:t>
      </w:r>
    </w:p>
  </w:footnote>
  <w:footnote w:id="62">
    <w:p w:rsidR="00000000" w:rsidDel="00000000" w:rsidP="00000000" w:rsidRDefault="00000000" w:rsidRPr="00000000" w14:paraId="00000093">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63">
    <w:p w:rsidR="00000000" w:rsidDel="00000000" w:rsidP="00000000" w:rsidRDefault="00000000" w:rsidRPr="00000000" w14:paraId="00000094">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64">
    <w:p w:rsidR="00000000" w:rsidDel="00000000" w:rsidP="00000000" w:rsidRDefault="00000000" w:rsidRPr="00000000" w14:paraId="00000095">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1396a(e)(16)</w:t>
      </w:r>
    </w:p>
  </w:footnote>
  <w:footnote w:id="65">
    <w:p w:rsidR="00000000" w:rsidDel="00000000" w:rsidP="00000000" w:rsidRDefault="00000000" w:rsidRPr="00000000" w14:paraId="00000096">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Letter from Daniel Tsai, Deputy Adm’r &amp; Dir., Ctrs. for Medicare &amp; Medicaid Servs., to Alexandra Adams, Dir., Idaho Dep’t of Health &amp; Welfare (Feb. 21, 2025).</w:t>
      </w:r>
    </w:p>
  </w:footnote>
  <w:footnote w:id="66">
    <w:p w:rsidR="00000000" w:rsidDel="00000000" w:rsidP="00000000" w:rsidRDefault="00000000" w:rsidRPr="00000000" w14:paraId="00000097">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r w:rsidDel="00000000" w:rsidR="00000000" w:rsidRPr="00000000">
        <w:rPr>
          <w:rFonts w:ascii="Fraunces Light" w:cs="Fraunces Light" w:eastAsia="Fraunces Light" w:hAnsi="Fraunces Light"/>
          <w:color w:val="000000"/>
          <w:sz w:val="20"/>
          <w:szCs w:val="20"/>
          <w:rtl w:val="0"/>
        </w:rPr>
        <w:t xml:space="preserve">CMS, State Health Official Letter #21-007 (Dec. 7, 2021)</w:t>
      </w:r>
    </w:p>
  </w:footnote>
  <w:footnote w:id="67">
    <w:p w:rsidR="00000000" w:rsidDel="00000000" w:rsidP="00000000" w:rsidRDefault="00000000" w:rsidRPr="00000000" w14:paraId="00000098">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1396a(e)(16); CMS, State Health Official Letter #21-007 (Dec. 7, 2021)</w:t>
      </w:r>
    </w:p>
  </w:footnote>
  <w:footnote w:id="68">
    <w:p w:rsidR="00000000" w:rsidDel="00000000" w:rsidP="00000000" w:rsidRDefault="00000000" w:rsidRPr="00000000" w14:paraId="00000099">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42 U.S.C. §§ 1316, 1396a(a)(10), 1396c</w:t>
      </w:r>
    </w:p>
  </w:footnote>
  <w:footnote w:id="69">
    <w:p w:rsidR="00000000" w:rsidDel="00000000" w:rsidP="00000000" w:rsidRDefault="00000000" w:rsidRPr="00000000" w14:paraId="0000009A">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Letter from Daniel Tsai, Deputy Adm’r &amp; Dir., Ctrs. for Medicare &amp; Medicaid Servs., to Alexandra Adams, Dir., Idaho Dep’t of Health &amp; Welfare (Feb. 21, 2025).</w:t>
      </w:r>
    </w:p>
  </w:footnote>
  <w:footnote w:id="70">
    <w:p w:rsidR="00000000" w:rsidDel="00000000" w:rsidP="00000000" w:rsidRDefault="00000000" w:rsidRPr="00000000" w14:paraId="0000009B">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71">
    <w:p w:rsidR="00000000" w:rsidDel="00000000" w:rsidP="00000000" w:rsidRDefault="00000000" w:rsidRPr="00000000" w14:paraId="0000009C">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 </w:t>
      </w:r>
      <w:r w:rsidDel="00000000" w:rsidR="00000000" w:rsidRPr="00000000">
        <w:rPr>
          <w:rFonts w:ascii="Fraunces Light" w:cs="Fraunces Light" w:eastAsia="Fraunces Light" w:hAnsi="Fraunces Light"/>
          <w:i w:val="1"/>
          <w:iCs w:val="1"/>
          <w:color w:val="000000"/>
          <w:sz w:val="20"/>
          <w:szCs w:val="20"/>
          <w:rtl w:val="0"/>
        </w:rPr>
        <w:t xml:space="preserve">Manuela v. El Salvador, Inter-Am. Comm’n H.R.</w:t>
      </w:r>
      <w:r w:rsidDel="00000000" w:rsidR="00000000" w:rsidRPr="00000000">
        <w:rPr>
          <w:rFonts w:ascii="Fraunces Light" w:cs="Fraunces Light" w:eastAsia="Fraunces Light" w:hAnsi="Fraunces Light"/>
          <w:color w:val="000000"/>
          <w:sz w:val="20"/>
          <w:szCs w:val="20"/>
          <w:rtl w:val="0"/>
        </w:rPr>
        <w:t xml:space="preserve">, Report No. 153/18 (2018)</w:t>
      </w:r>
    </w:p>
  </w:footnote>
  <w:footnote w:id="72">
    <w:p w:rsidR="00000000" w:rsidDel="00000000" w:rsidP="00000000" w:rsidRDefault="00000000" w:rsidRPr="00000000" w14:paraId="0000009D">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Colautti v. Franklin, </w:t>
      </w:r>
      <w:r w:rsidDel="00000000" w:rsidR="00000000" w:rsidRPr="00000000">
        <w:rPr>
          <w:rFonts w:ascii="Fraunces Light" w:cs="Fraunces Light" w:eastAsia="Fraunces Light" w:hAnsi="Fraunces Light"/>
          <w:color w:val="000000"/>
          <w:sz w:val="20"/>
          <w:szCs w:val="20"/>
          <w:rtl w:val="0"/>
        </w:rPr>
        <w:t xml:space="preserve">439 U.S. 379 (1979);</w:t>
      </w:r>
      <w:r w:rsidDel="00000000" w:rsidR="00000000" w:rsidRPr="00000000">
        <w:rPr>
          <w:rFonts w:ascii="Fraunces Light" w:cs="Fraunces Light" w:eastAsia="Fraunces Light" w:hAnsi="Fraunces Light"/>
          <w:i w:val="1"/>
          <w:iCs w:val="1"/>
          <w:color w:val="000000"/>
          <w:sz w:val="20"/>
          <w:szCs w:val="20"/>
          <w:rtl w:val="0"/>
        </w:rPr>
        <w:t xml:space="preserve"> Stenberg v. Carhart</w:t>
      </w:r>
      <w:r w:rsidDel="00000000" w:rsidR="00000000" w:rsidRPr="00000000">
        <w:rPr>
          <w:rFonts w:ascii="Fraunces Light" w:cs="Fraunces Light" w:eastAsia="Fraunces Light" w:hAnsi="Fraunces Light"/>
          <w:color w:val="000000"/>
          <w:sz w:val="20"/>
          <w:szCs w:val="20"/>
          <w:rtl w:val="0"/>
        </w:rPr>
        <w:t xml:space="preserve">, 530 U.S. 914 (2000); World Health Organization, Abortion Care Guideline (2022)</w:t>
      </w:r>
    </w:p>
  </w:footnote>
  <w:footnote w:id="73">
    <w:p w:rsidR="00000000" w:rsidDel="00000000" w:rsidP="00000000" w:rsidRDefault="00000000" w:rsidRPr="00000000" w14:paraId="0000009E">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Dobbs v. Jackson Women’s Health Org</w:t>
      </w:r>
      <w:r w:rsidDel="00000000" w:rsidR="00000000" w:rsidRPr="00000000">
        <w:rPr>
          <w:rFonts w:ascii="Fraunces Light" w:cs="Fraunces Light" w:eastAsia="Fraunces Light" w:hAnsi="Fraunces Light"/>
          <w:color w:val="000000"/>
          <w:sz w:val="20"/>
          <w:szCs w:val="20"/>
          <w:rtl w:val="0"/>
        </w:rPr>
        <w:t xml:space="preserve">., 597 U.S. 215 (2022); Tex. Health &amp; Safety Code §§ 170A.001–.007; Tex. Civ. Prac. &amp; Rem. Code §§ 171.201–.212</w:t>
      </w:r>
    </w:p>
  </w:footnote>
  <w:footnote w:id="74">
    <w:p w:rsidR="00000000" w:rsidDel="00000000" w:rsidP="00000000" w:rsidRDefault="00000000" w:rsidRPr="00000000" w14:paraId="0000009F">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Tex. Health &amp; Safety Code §§ 170A.002(b)(2), 171.205;  </w:t>
      </w:r>
      <w:r w:rsidDel="00000000" w:rsidR="00000000" w:rsidRPr="00000000">
        <w:rPr>
          <w:rFonts w:ascii="Fraunces Light" w:cs="Fraunces Light" w:eastAsia="Fraunces Light" w:hAnsi="Fraunces Light"/>
          <w:i w:val="1"/>
          <w:iCs w:val="1"/>
          <w:color w:val="000000"/>
          <w:sz w:val="20"/>
          <w:szCs w:val="20"/>
          <w:rtl w:val="0"/>
        </w:rPr>
        <w:t xml:space="preserve">Zurawski v. Texas</w:t>
      </w:r>
      <w:r w:rsidDel="00000000" w:rsidR="00000000" w:rsidRPr="00000000">
        <w:rPr>
          <w:rFonts w:ascii="Fraunces Light" w:cs="Fraunces Light" w:eastAsia="Fraunces Light" w:hAnsi="Fraunces Light"/>
          <w:color w:val="000000"/>
          <w:sz w:val="20"/>
          <w:szCs w:val="20"/>
          <w:rtl w:val="0"/>
        </w:rPr>
        <w:t xml:space="preserve">, No. D-1-GN-23-000968 (Tex. Dist. Ct. filed 2023).</w:t>
      </w:r>
    </w:p>
  </w:footnote>
  <w:footnote w:id="75">
    <w:p w:rsidR="00000000" w:rsidDel="00000000" w:rsidP="00000000" w:rsidRDefault="00000000" w:rsidRPr="00000000" w14:paraId="000000A0">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Am. Coll. of Obstetricians &amp; Gynecologists, Practice Bulletin No. 200: Early Pregnancy Loss (2018, reaffirmed 2021); World Health Organization, Abortion Care Guideline (2022)</w:t>
      </w:r>
    </w:p>
  </w:footnote>
  <w:footnote w:id="76">
    <w:p w:rsidR="00000000" w:rsidDel="00000000" w:rsidP="00000000" w:rsidRDefault="00000000" w:rsidRPr="00000000" w14:paraId="000000A1">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Am. Coll. of Obstetricians &amp; Gynecologists, Practice Bulletin No. 200: Early Pregnancy Loss (2018, reaffirmed 2021); World Health Organization, Abortion Care Guideline (2022)</w:t>
      </w:r>
    </w:p>
  </w:footnote>
  <w:footnote w:id="77">
    <w:p w:rsidR="00000000" w:rsidDel="00000000" w:rsidP="00000000" w:rsidRDefault="00000000" w:rsidRPr="00000000" w14:paraId="000000A2">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Zurawski v. Texas</w:t>
      </w:r>
      <w:r w:rsidDel="00000000" w:rsidR="00000000" w:rsidRPr="00000000">
        <w:rPr>
          <w:rFonts w:ascii="Fraunces Light" w:cs="Fraunces Light" w:eastAsia="Fraunces Light" w:hAnsi="Fraunces Light"/>
          <w:color w:val="000000"/>
          <w:sz w:val="20"/>
          <w:szCs w:val="20"/>
          <w:rtl w:val="0"/>
        </w:rPr>
        <w:t xml:space="preserve">, No. D-1-GN-23-000968 (Tex. Dist. Ct. filed 2023);  </w:t>
      </w:r>
      <w:r w:rsidDel="00000000" w:rsidR="00000000" w:rsidRPr="00000000">
        <w:rPr>
          <w:rFonts w:ascii="Fraunces Light" w:cs="Fraunces Light" w:eastAsia="Fraunces Light" w:hAnsi="Fraunces Light"/>
          <w:i w:val="1"/>
          <w:iCs w:val="1"/>
          <w:color w:val="000000"/>
          <w:sz w:val="20"/>
          <w:szCs w:val="20"/>
          <w:rtl w:val="0"/>
        </w:rPr>
        <w:t xml:space="preserve">Colautti v. Franklin, </w:t>
      </w:r>
      <w:r w:rsidDel="00000000" w:rsidR="00000000" w:rsidRPr="00000000">
        <w:rPr>
          <w:rFonts w:ascii="Fraunces Light" w:cs="Fraunces Light" w:eastAsia="Fraunces Light" w:hAnsi="Fraunces Light"/>
          <w:color w:val="000000"/>
          <w:sz w:val="20"/>
          <w:szCs w:val="20"/>
          <w:rtl w:val="0"/>
        </w:rPr>
        <w:t xml:space="preserve">439 U.S. 379 (1979).</w:t>
      </w:r>
    </w:p>
  </w:footnote>
  <w:footnote w:id="78">
    <w:p w:rsidR="00000000" w:rsidDel="00000000" w:rsidP="00000000" w:rsidRDefault="00000000" w:rsidRPr="00000000" w14:paraId="000000A3">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Zurawski v. Texas</w:t>
      </w:r>
      <w:r w:rsidDel="00000000" w:rsidR="00000000" w:rsidRPr="00000000">
        <w:rPr>
          <w:rFonts w:ascii="Fraunces Light" w:cs="Fraunces Light" w:eastAsia="Fraunces Light" w:hAnsi="Fraunces Light"/>
          <w:color w:val="000000"/>
          <w:sz w:val="20"/>
          <w:szCs w:val="20"/>
          <w:rtl w:val="0"/>
        </w:rPr>
        <w:t xml:space="preserve">, No. D-1-GN-23-000968 (Tex. Dist. Ct. filed 2023).</w:t>
      </w:r>
      <w:r w:rsidDel="00000000" w:rsidR="00000000" w:rsidRPr="00000000">
        <w:rPr>
          <w:rtl w:val="0"/>
        </w:rPr>
      </w:r>
    </w:p>
  </w:footnote>
  <w:footnote w:id="79">
    <w:p w:rsidR="00000000" w:rsidDel="00000000" w:rsidP="00000000" w:rsidRDefault="00000000" w:rsidRPr="00000000" w14:paraId="000000A4">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Id.</w:t>
      </w:r>
    </w:p>
  </w:footnote>
  <w:footnote w:id="80">
    <w:p w:rsidR="00000000" w:rsidDel="00000000" w:rsidP="00000000" w:rsidRDefault="00000000" w:rsidRPr="00000000" w14:paraId="000000A5">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81">
    <w:p w:rsidR="00000000" w:rsidDel="00000000" w:rsidP="00000000" w:rsidRDefault="00000000" w:rsidRPr="00000000" w14:paraId="000000A6">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w:t>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Colautti v. Franklin, </w:t>
      </w:r>
      <w:r w:rsidDel="00000000" w:rsidR="00000000" w:rsidRPr="00000000">
        <w:rPr>
          <w:rFonts w:ascii="Fraunces Light" w:cs="Fraunces Light" w:eastAsia="Fraunces Light" w:hAnsi="Fraunces Light"/>
          <w:color w:val="000000"/>
          <w:sz w:val="20"/>
          <w:szCs w:val="20"/>
          <w:rtl w:val="0"/>
        </w:rPr>
        <w:t xml:space="preserve">439 U.S. 379 (1979); </w:t>
      </w:r>
      <w:r w:rsidDel="00000000" w:rsidR="00000000" w:rsidRPr="00000000">
        <w:rPr>
          <w:rFonts w:ascii="Fraunces Light" w:cs="Fraunces Light" w:eastAsia="Fraunces Light" w:hAnsi="Fraunces Light"/>
          <w:i w:val="1"/>
          <w:iCs w:val="1"/>
          <w:color w:val="000000"/>
          <w:sz w:val="20"/>
          <w:szCs w:val="20"/>
          <w:rtl w:val="0"/>
        </w:rPr>
        <w:t xml:space="preserve">Stenberg v. Carhart</w:t>
      </w:r>
      <w:r w:rsidDel="00000000" w:rsidR="00000000" w:rsidRPr="00000000">
        <w:rPr>
          <w:rFonts w:ascii="Fraunces Light" w:cs="Fraunces Light" w:eastAsia="Fraunces Light" w:hAnsi="Fraunces Light"/>
          <w:color w:val="000000"/>
          <w:sz w:val="20"/>
          <w:szCs w:val="20"/>
          <w:rtl w:val="0"/>
        </w:rPr>
        <w:t xml:space="preserve">, 530 U.S. 914 (2000).</w:t>
      </w:r>
    </w:p>
  </w:footnote>
  <w:footnote w:id="82">
    <w:p w:rsidR="00000000" w:rsidDel="00000000" w:rsidP="00000000" w:rsidRDefault="00000000" w:rsidRPr="00000000" w14:paraId="000000A7">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 Int’l Fed’n of Gynecology &amp; Obstetrics, Ethical Issues in Obstetrics and Gynecology (2019);  </w:t>
      </w:r>
      <w:r w:rsidDel="00000000" w:rsidR="00000000" w:rsidRPr="00000000">
        <w:rPr>
          <w:rFonts w:ascii="Fraunces Light" w:cs="Fraunces Light" w:eastAsia="Fraunces Light" w:hAnsi="Fraunces Light"/>
          <w:i w:val="1"/>
          <w:iCs w:val="1"/>
          <w:color w:val="000000"/>
          <w:sz w:val="20"/>
          <w:szCs w:val="20"/>
          <w:rtl w:val="0"/>
        </w:rPr>
        <w:t xml:space="preserve">Zurawski v. Texas</w:t>
      </w:r>
      <w:r w:rsidDel="00000000" w:rsidR="00000000" w:rsidRPr="00000000">
        <w:rPr>
          <w:rFonts w:ascii="Fraunces Light" w:cs="Fraunces Light" w:eastAsia="Fraunces Light" w:hAnsi="Fraunces Light"/>
          <w:color w:val="000000"/>
          <w:sz w:val="20"/>
          <w:szCs w:val="20"/>
          <w:rtl w:val="0"/>
        </w:rPr>
        <w:t xml:space="preserve">, No. D-1-GN-23-000968 (Tex. Dist. Ct. filed 2023).</w:t>
      </w:r>
      <w:r w:rsidDel="00000000" w:rsidR="00000000" w:rsidRPr="00000000">
        <w:rPr>
          <w:rtl w:val="0"/>
        </w:rPr>
      </w:r>
    </w:p>
  </w:footnote>
  <w:footnote w:id="83">
    <w:p w:rsidR="00000000" w:rsidDel="00000000" w:rsidP="00000000" w:rsidRDefault="00000000" w:rsidRPr="00000000" w14:paraId="000000A8">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Zurawski v. Texas</w:t>
      </w:r>
      <w:r w:rsidDel="00000000" w:rsidR="00000000" w:rsidRPr="00000000">
        <w:rPr>
          <w:rFonts w:ascii="Fraunces Light" w:cs="Fraunces Light" w:eastAsia="Fraunces Light" w:hAnsi="Fraunces Light"/>
          <w:color w:val="000000"/>
          <w:sz w:val="20"/>
          <w:szCs w:val="20"/>
          <w:rtl w:val="0"/>
        </w:rPr>
        <w:t xml:space="preserve">, No. D-1-GN-23-000968 (Tex. Dist. Ct. filed 2023); Anna Maria Barry-Jester et al., Women Denied Abortions Sue Texas Over Medical Exceptions Ban, Kaiser Health News (Mar. 7, 2023)</w:t>
      </w:r>
    </w:p>
  </w:footnote>
  <w:footnote w:id="84">
    <w:p w:rsidR="00000000" w:rsidDel="00000000" w:rsidP="00000000" w:rsidRDefault="00000000" w:rsidRPr="00000000" w14:paraId="000000A9">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Zurawski v. Texas</w:t>
      </w:r>
      <w:r w:rsidDel="00000000" w:rsidR="00000000" w:rsidRPr="00000000">
        <w:rPr>
          <w:rFonts w:ascii="Fraunces Light" w:cs="Fraunces Light" w:eastAsia="Fraunces Light" w:hAnsi="Fraunces Light"/>
          <w:color w:val="000000"/>
          <w:sz w:val="20"/>
          <w:szCs w:val="20"/>
          <w:rtl w:val="0"/>
        </w:rPr>
        <w:t xml:space="preserve">, No. D-1-GN-23-000968 (Tex. Dist. Ct. filed 2023); World Health Organization, Abortion Care Guideline (2022)</w:t>
      </w:r>
    </w:p>
  </w:footnote>
  <w:footnote w:id="85">
    <w:p w:rsidR="00000000" w:rsidDel="00000000" w:rsidP="00000000" w:rsidRDefault="00000000" w:rsidRPr="00000000" w14:paraId="000000AA">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Okla. Exec. Order No. 2025-16 (July 31, 2025)</w:t>
      </w:r>
    </w:p>
  </w:footnote>
  <w:footnote w:id="86">
    <w:p w:rsidR="00000000" w:rsidDel="00000000" w:rsidP="00000000" w:rsidRDefault="00000000" w:rsidRPr="00000000" w14:paraId="000000AB">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id.</w:t>
      </w:r>
    </w:p>
  </w:footnote>
  <w:footnote w:id="87">
    <w:p w:rsidR="00000000" w:rsidDel="00000000" w:rsidP="00000000" w:rsidRDefault="00000000" w:rsidRPr="00000000" w14:paraId="000000AC">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Okla. Health Care Auth., Attestation of Compliance with Executive Order 2025-16 (2025)</w:t>
      </w:r>
    </w:p>
  </w:footnote>
  <w:footnote w:id="88">
    <w:p w:rsidR="00000000" w:rsidDel="00000000" w:rsidP="00000000" w:rsidRDefault="00000000" w:rsidRPr="00000000" w14:paraId="000000AD">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Okla. Stat. tit. 63, § 1-730 (2025)</w:t>
      </w:r>
    </w:p>
  </w:footnote>
  <w:footnote w:id="89">
    <w:p w:rsidR="00000000" w:rsidDel="00000000" w:rsidP="00000000" w:rsidRDefault="00000000" w:rsidRPr="00000000" w14:paraId="000000AE">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Memorandum from Okla. Att’y Gen. to All Oklahoma Physicians, Guidance for Oklahoma Physicians Following </w:t>
      </w:r>
      <w:r w:rsidDel="00000000" w:rsidR="00000000" w:rsidRPr="00000000">
        <w:rPr>
          <w:rFonts w:ascii="Fraunces Light" w:cs="Fraunces Light" w:eastAsia="Fraunces Light" w:hAnsi="Fraunces Light"/>
          <w:i w:val="1"/>
          <w:iCs w:val="1"/>
          <w:color w:val="000000"/>
          <w:sz w:val="20"/>
          <w:szCs w:val="20"/>
          <w:rtl w:val="0"/>
        </w:rPr>
        <w:t xml:space="preserve">Dobbs v. Jackson Women’s Health Org.</w:t>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OCRJ v. Drummond</w:t>
      </w:r>
      <w:r w:rsidDel="00000000" w:rsidR="00000000" w:rsidRPr="00000000">
        <w:rPr>
          <w:rFonts w:ascii="Fraunces Light" w:cs="Fraunces Light" w:eastAsia="Fraunces Light" w:hAnsi="Fraunces Light"/>
          <w:color w:val="000000"/>
          <w:sz w:val="20"/>
          <w:szCs w:val="20"/>
          <w:rtl w:val="0"/>
        </w:rPr>
        <w:t xml:space="preserve">, and </w:t>
      </w:r>
      <w:r w:rsidDel="00000000" w:rsidR="00000000" w:rsidRPr="00000000">
        <w:rPr>
          <w:rFonts w:ascii="Fraunces Light" w:cs="Fraunces Light" w:eastAsia="Fraunces Light" w:hAnsi="Fraunces Light"/>
          <w:i w:val="1"/>
          <w:iCs w:val="1"/>
          <w:color w:val="000000"/>
          <w:sz w:val="20"/>
          <w:szCs w:val="20"/>
          <w:rtl w:val="0"/>
        </w:rPr>
        <w:t xml:space="preserve">OCRJ v. Oklahoma </w:t>
      </w:r>
      <w:r w:rsidDel="00000000" w:rsidR="00000000" w:rsidRPr="00000000">
        <w:rPr>
          <w:rFonts w:ascii="Fraunces Light" w:cs="Fraunces Light" w:eastAsia="Fraunces Light" w:hAnsi="Fraunces Light"/>
          <w:color w:val="000000"/>
          <w:sz w:val="20"/>
          <w:szCs w:val="20"/>
          <w:rtl w:val="0"/>
        </w:rPr>
        <w:t xml:space="preserve">(Sept. 12, 2025)</w:t>
      </w:r>
    </w:p>
  </w:footnote>
  <w:footnote w:id="90">
    <w:p w:rsidR="00000000" w:rsidDel="00000000" w:rsidP="00000000" w:rsidRDefault="00000000" w:rsidRPr="00000000" w14:paraId="000000AF">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Okla. Call for Reprod. Just. v. Drummond</w:t>
      </w:r>
      <w:r w:rsidDel="00000000" w:rsidR="00000000" w:rsidRPr="00000000">
        <w:rPr>
          <w:rFonts w:ascii="Fraunces Light" w:cs="Fraunces Light" w:eastAsia="Fraunces Light" w:hAnsi="Fraunces Light"/>
          <w:color w:val="000000"/>
          <w:sz w:val="20"/>
          <w:szCs w:val="20"/>
          <w:rtl w:val="0"/>
        </w:rPr>
        <w:t xml:space="preserve">, 2023 OK 24, 531 P.3d 1176</w:t>
      </w:r>
    </w:p>
  </w:footnote>
  <w:footnote w:id="91">
    <w:p w:rsidR="00000000" w:rsidDel="00000000" w:rsidP="00000000" w:rsidRDefault="00000000" w:rsidRPr="00000000" w14:paraId="000000B0">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Okla. Stat. tit. 63, §§ 1-730, 1-738l, 1-757.2 (2025); Okla. Stat. tit. 21, § 861 (2025).</w:t>
      </w:r>
    </w:p>
  </w:footnote>
  <w:footnote w:id="92">
    <w:p w:rsidR="00000000" w:rsidDel="00000000" w:rsidP="00000000" w:rsidRDefault="00000000" w:rsidRPr="00000000" w14:paraId="000000B1">
      <w:pPr>
        <w:spacing w:line="240" w:lineRule="auto"/>
        <w:ind w:left="0" w:firstLine="0"/>
        <w:rPr>
          <w:rFonts w:ascii="Fraunces Light" w:cs="Fraunces Light" w:eastAsia="Fraunces Light" w:hAnsi="Fraunces Light"/>
          <w:color w:val="000000"/>
          <w:sz w:val="20"/>
          <w:szCs w:val="20"/>
          <w:highlight w:val="yellow"/>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Letter from Daniel Tsai, Deputy Adm’r &amp; Dir., Ctrs. for Medicare &amp; Medicaid Servs., to Alexandra Adams, Dir., Idaho Dep’t of Health &amp; Welfare (Feb. 21, 2025)</w:t>
      </w:r>
      <w:r w:rsidDel="00000000" w:rsidR="00000000" w:rsidRPr="00000000">
        <w:rPr>
          <w:rtl w:val="0"/>
        </w:rPr>
      </w:r>
    </w:p>
  </w:footnote>
  <w:footnote w:id="93">
    <w:p w:rsidR="00000000" w:rsidDel="00000000" w:rsidP="00000000" w:rsidRDefault="00000000" w:rsidRPr="00000000" w14:paraId="000000B2">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Tex. Health &amp; Safety Code §§ 170A.001–.007; </w:t>
      </w:r>
      <w:r w:rsidDel="00000000" w:rsidR="00000000" w:rsidRPr="00000000">
        <w:rPr>
          <w:rFonts w:ascii="Fraunces Light" w:cs="Fraunces Light" w:eastAsia="Fraunces Light" w:hAnsi="Fraunces Light"/>
          <w:i w:val="1"/>
          <w:iCs w:val="1"/>
          <w:color w:val="000000"/>
          <w:sz w:val="20"/>
          <w:szCs w:val="20"/>
          <w:rtl w:val="0"/>
        </w:rPr>
        <w:t xml:space="preserve">Zurawski v. Texa</w:t>
      </w:r>
      <w:r w:rsidDel="00000000" w:rsidR="00000000" w:rsidRPr="00000000">
        <w:rPr>
          <w:rFonts w:ascii="Fraunces Light" w:cs="Fraunces Light" w:eastAsia="Fraunces Light" w:hAnsi="Fraunces Light"/>
          <w:color w:val="000000"/>
          <w:sz w:val="20"/>
          <w:szCs w:val="20"/>
          <w:rtl w:val="0"/>
        </w:rPr>
        <w:t xml:space="preserve">s, No. D-1-GN-23-000968 (Tex. Dist. Ct. filed 2023).</w:t>
      </w:r>
    </w:p>
  </w:footnote>
  <w:footnote w:id="94">
    <w:p w:rsidR="00000000" w:rsidDel="00000000" w:rsidP="00000000" w:rsidRDefault="00000000" w:rsidRPr="00000000" w14:paraId="000000B3">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Okla. Exec. Order No. 2025-16 (July 31, 2025); Okla. Health Care Auth., Attestation of Compliance with Executive Order 2025-16 (2025).</w:t>
      </w:r>
    </w:p>
  </w:footnote>
  <w:footnote w:id="95">
    <w:p w:rsidR="00000000" w:rsidDel="00000000" w:rsidP="00000000" w:rsidRDefault="00000000" w:rsidRPr="00000000" w14:paraId="000000B4">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 Int’l Fed’n of Gynecology &amp; Obstetrics, Ethical Issues in Obstetrics and Gynecology (2019).</w:t>
      </w:r>
    </w:p>
  </w:footnote>
  <w:footnote w:id="96">
    <w:p w:rsidR="00000000" w:rsidDel="00000000" w:rsidP="00000000" w:rsidRDefault="00000000" w:rsidRPr="00000000" w14:paraId="000000B5">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World Health Organization, Abortion Care Guideline (2022).</w:t>
      </w:r>
    </w:p>
  </w:footnote>
  <w:footnote w:id="97">
    <w:p w:rsidR="00000000" w:rsidDel="00000000" w:rsidP="00000000" w:rsidRDefault="00000000" w:rsidRPr="00000000" w14:paraId="000000B6">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98">
    <w:p w:rsidR="00000000" w:rsidDel="00000000" w:rsidP="00000000" w:rsidRDefault="00000000" w:rsidRPr="00000000" w14:paraId="000000B7">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Int’l Fed’n of Gynecology &amp; Obstetrics, Ethical Issues in Obstetrics and Gynecology (2019).</w:t>
      </w:r>
    </w:p>
  </w:footnote>
  <w:footnote w:id="99">
    <w:p w:rsidR="00000000" w:rsidDel="00000000" w:rsidP="00000000" w:rsidRDefault="00000000" w:rsidRPr="00000000" w14:paraId="000000B8">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World Health Organization, Abortion Care Guideline (2022).</w:t>
      </w:r>
    </w:p>
  </w:footnote>
  <w:footnote w:id="100">
    <w:p w:rsidR="00000000" w:rsidDel="00000000" w:rsidP="00000000" w:rsidRDefault="00000000" w:rsidRPr="00000000" w14:paraId="000000B9">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L.C. v. Peru, Comm. on the Elimination of Discrimination Against Women</w:t>
      </w:r>
      <w:r w:rsidDel="00000000" w:rsidR="00000000" w:rsidRPr="00000000">
        <w:rPr>
          <w:rFonts w:ascii="Fraunces Light" w:cs="Fraunces Light" w:eastAsia="Fraunces Light" w:hAnsi="Fraunces Light"/>
          <w:color w:val="000000"/>
          <w:sz w:val="20"/>
          <w:szCs w:val="20"/>
          <w:rtl w:val="0"/>
        </w:rPr>
        <w:t xml:space="preserve">, Commc’n No. 22/2009 (2011); </w:t>
      </w:r>
      <w:r w:rsidDel="00000000" w:rsidR="00000000" w:rsidRPr="00000000">
        <w:rPr>
          <w:rFonts w:ascii="Fraunces Light" w:cs="Fraunces Light" w:eastAsia="Fraunces Light" w:hAnsi="Fraunces Light"/>
          <w:i w:val="1"/>
          <w:iCs w:val="1"/>
          <w:color w:val="000000"/>
          <w:sz w:val="20"/>
          <w:szCs w:val="20"/>
          <w:rtl w:val="0"/>
        </w:rPr>
        <w:t xml:space="preserve">Llantoy Huamán v. Peru, U.N. Human Rights Comm., </w:t>
      </w:r>
      <w:r w:rsidDel="00000000" w:rsidR="00000000" w:rsidRPr="00000000">
        <w:rPr>
          <w:rFonts w:ascii="Fraunces Light" w:cs="Fraunces Light" w:eastAsia="Fraunces Light" w:hAnsi="Fraunces Light"/>
          <w:color w:val="000000"/>
          <w:sz w:val="20"/>
          <w:szCs w:val="20"/>
          <w:rtl w:val="0"/>
        </w:rPr>
        <w:t xml:space="preserve">Commc’n No. 1153/2003 (2005).</w:t>
      </w:r>
    </w:p>
  </w:footnote>
  <w:footnote w:id="101">
    <w:p w:rsidR="00000000" w:rsidDel="00000000" w:rsidP="00000000" w:rsidRDefault="00000000" w:rsidRPr="00000000" w14:paraId="000000BA">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Ministry of Med. Servs. &amp; Ministry of Pub. Health &amp; Sanitation, Republic of Kenya, Standards and Guidelines for Reducing Morbidity and Mortality from Unsafe Abortion in Kenya (2012)</w:t>
      </w:r>
    </w:p>
  </w:footnote>
  <w:footnote w:id="102">
    <w:p w:rsidR="00000000" w:rsidDel="00000000" w:rsidP="00000000" w:rsidRDefault="00000000" w:rsidRPr="00000000" w14:paraId="000000BB">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103">
    <w:p w:rsidR="00000000" w:rsidDel="00000000" w:rsidP="00000000" w:rsidRDefault="00000000" w:rsidRPr="00000000" w14:paraId="000000BC">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104">
    <w:p w:rsidR="00000000" w:rsidDel="00000000" w:rsidP="00000000" w:rsidRDefault="00000000" w:rsidRPr="00000000" w14:paraId="000000BD">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Federation of Women Lawyers Kenya (FIDA-Kenya) &amp; 3 Others v. Att’y Gen. &amp; 2 Others</w:t>
      </w:r>
      <w:r w:rsidDel="00000000" w:rsidR="00000000" w:rsidRPr="00000000">
        <w:rPr>
          <w:rFonts w:ascii="Fraunces Light" w:cs="Fraunces Light" w:eastAsia="Fraunces Light" w:hAnsi="Fraunces Light"/>
          <w:color w:val="000000"/>
          <w:sz w:val="20"/>
          <w:szCs w:val="20"/>
          <w:rtl w:val="0"/>
        </w:rPr>
        <w:t xml:space="preserve">, Petition No. 266 of 2015 (High Ct. Kenya 2019).</w:t>
      </w:r>
    </w:p>
  </w:footnote>
  <w:footnote w:id="105">
    <w:p w:rsidR="00000000" w:rsidDel="00000000" w:rsidP="00000000" w:rsidRDefault="00000000" w:rsidRPr="00000000" w14:paraId="000000BE">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106">
    <w:p w:rsidR="00000000" w:rsidDel="00000000" w:rsidP="00000000" w:rsidRDefault="00000000" w:rsidRPr="00000000" w14:paraId="000000BF">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107">
    <w:p w:rsidR="00000000" w:rsidDel="00000000" w:rsidP="00000000" w:rsidRDefault="00000000" w:rsidRPr="00000000" w14:paraId="000000C0">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Kenya Judiciary, Press Summary: Petition 266 of 2015 (2019); KELIN, JMM Case Breakdown (2019).</w:t>
      </w:r>
    </w:p>
  </w:footnote>
  <w:footnote w:id="108">
    <w:p w:rsidR="00000000" w:rsidDel="00000000" w:rsidP="00000000" w:rsidRDefault="00000000" w:rsidRPr="00000000" w14:paraId="000000C1">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Federation of Women Lawyers Kenya (FIDA-Kenya) &amp; 3 Others v. Att’y Gen. &amp; 2 Others</w:t>
      </w:r>
      <w:r w:rsidDel="00000000" w:rsidR="00000000" w:rsidRPr="00000000">
        <w:rPr>
          <w:rFonts w:ascii="Fraunces Light" w:cs="Fraunces Light" w:eastAsia="Fraunces Light" w:hAnsi="Fraunces Light"/>
          <w:color w:val="000000"/>
          <w:sz w:val="20"/>
          <w:szCs w:val="20"/>
          <w:rtl w:val="0"/>
        </w:rPr>
        <w:t xml:space="preserve">, Petition No. 266 of 2015 (High Ct. Kenya 2019).</w:t>
      </w:r>
    </w:p>
  </w:footnote>
  <w:footnote w:id="109">
    <w:p w:rsidR="00000000" w:rsidDel="00000000" w:rsidP="00000000" w:rsidRDefault="00000000" w:rsidRPr="00000000" w14:paraId="000000C2">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110">
    <w:p w:rsidR="00000000" w:rsidDel="00000000" w:rsidP="00000000" w:rsidRDefault="00000000" w:rsidRPr="00000000" w14:paraId="000000C3">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111">
    <w:p w:rsidR="00000000" w:rsidDel="00000000" w:rsidP="00000000" w:rsidRDefault="00000000" w:rsidRPr="00000000" w14:paraId="000000C4">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ARTICLE 19, Kenya Court Declares Withdrawal of Medical Information and Curriculum for Safe Abortions Illegal (2019)</w:t>
      </w:r>
    </w:p>
  </w:footnote>
  <w:footnote w:id="112">
    <w:p w:rsidR="00000000" w:rsidDel="00000000" w:rsidP="00000000" w:rsidRDefault="00000000" w:rsidRPr="00000000" w14:paraId="000000C5">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Federation of Women Lawyers Kenya (FIDA-Kenya) &amp; 3 Others v. Att’y Gen. &amp; 2 Others</w:t>
      </w:r>
      <w:r w:rsidDel="00000000" w:rsidR="00000000" w:rsidRPr="00000000">
        <w:rPr>
          <w:rFonts w:ascii="Fraunces Light" w:cs="Fraunces Light" w:eastAsia="Fraunces Light" w:hAnsi="Fraunces Light"/>
          <w:color w:val="000000"/>
          <w:sz w:val="20"/>
          <w:szCs w:val="20"/>
          <w:rtl w:val="0"/>
        </w:rPr>
        <w:t xml:space="preserve">, Petition No. 266 of 2015 (High Ct. Kenya 2019); Kenya Judiciary, Press Summary: Petition 266 of 2015 (2019).</w:t>
      </w:r>
    </w:p>
  </w:footnote>
  <w:footnote w:id="113">
    <w:p w:rsidR="00000000" w:rsidDel="00000000" w:rsidP="00000000" w:rsidRDefault="00000000" w:rsidRPr="00000000" w14:paraId="000000C6">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Manuela v. El Salvador, Inter-Am. Comm’n H.R., </w:t>
      </w:r>
      <w:r w:rsidDel="00000000" w:rsidR="00000000" w:rsidRPr="00000000">
        <w:rPr>
          <w:rFonts w:ascii="Fraunces Light" w:cs="Fraunces Light" w:eastAsia="Fraunces Light" w:hAnsi="Fraunces Light"/>
          <w:color w:val="000000"/>
          <w:sz w:val="20"/>
          <w:szCs w:val="20"/>
          <w:rtl w:val="0"/>
        </w:rPr>
        <w:t xml:space="preserve">Report No. 153/18 (2018).</w:t>
      </w:r>
    </w:p>
  </w:footnote>
  <w:footnote w:id="114">
    <w:p w:rsidR="00000000" w:rsidDel="00000000" w:rsidP="00000000" w:rsidRDefault="00000000" w:rsidRPr="00000000" w14:paraId="000000C7">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115">
    <w:p w:rsidR="00000000" w:rsidDel="00000000" w:rsidP="00000000" w:rsidRDefault="00000000" w:rsidRPr="00000000" w14:paraId="000000C8">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w:t>
      </w:r>
    </w:p>
  </w:footnote>
  <w:footnote w:id="116">
    <w:p w:rsidR="00000000" w:rsidDel="00000000" w:rsidP="00000000" w:rsidRDefault="00000000" w:rsidRPr="00000000" w14:paraId="000000C9">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 Int’l Fed’n of Gynecology &amp; Obstetrics, Ethical Issues in Obstetrics and Gynecology (2019).</w:t>
      </w:r>
    </w:p>
  </w:footnote>
  <w:footnote w:id="117">
    <w:p w:rsidR="00000000" w:rsidDel="00000000" w:rsidP="00000000" w:rsidRDefault="00000000" w:rsidRPr="00000000" w14:paraId="000000CA">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Manuela v. El Salvador, Inter-Am. Comm’n H.R., </w:t>
      </w:r>
      <w:r w:rsidDel="00000000" w:rsidR="00000000" w:rsidRPr="00000000">
        <w:rPr>
          <w:rFonts w:ascii="Fraunces Light" w:cs="Fraunces Light" w:eastAsia="Fraunces Light" w:hAnsi="Fraunces Light"/>
          <w:color w:val="000000"/>
          <w:sz w:val="20"/>
          <w:szCs w:val="20"/>
          <w:rtl w:val="0"/>
        </w:rPr>
        <w:t xml:space="preserve">Report No. 153/18 (2018); Int’l Fed’n of Gynecology &amp; Obstetrics, Ethical Issues in Obstetrics and Gynecology (2019); World Health Organization, Abortion Care Guideline (2022)</w:t>
      </w:r>
    </w:p>
  </w:footnote>
  <w:footnote w:id="118">
    <w:p w:rsidR="00000000" w:rsidDel="00000000" w:rsidP="00000000" w:rsidRDefault="00000000" w:rsidRPr="00000000" w14:paraId="000000CB">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 Int’l Fed’n of Gynecology &amp; Obstetrics, Ethical Issues in Obstetrics and Gynecology (2019).</w:t>
      </w:r>
    </w:p>
  </w:footnote>
  <w:footnote w:id="119">
    <w:p w:rsidR="00000000" w:rsidDel="00000000" w:rsidP="00000000" w:rsidRDefault="00000000" w:rsidRPr="00000000" w14:paraId="000000CC">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Llantoy Huamán v. Peru, U.N. Human Rights Comm</w:t>
      </w:r>
      <w:r w:rsidDel="00000000" w:rsidR="00000000" w:rsidRPr="00000000">
        <w:rPr>
          <w:rFonts w:ascii="Fraunces Light" w:cs="Fraunces Light" w:eastAsia="Fraunces Light" w:hAnsi="Fraunces Light"/>
          <w:color w:val="000000"/>
          <w:sz w:val="20"/>
          <w:szCs w:val="20"/>
          <w:rtl w:val="0"/>
        </w:rPr>
        <w:t xml:space="preserve">., Commc’n No. 1153/2003 (2005).</w:t>
      </w:r>
      <w:r w:rsidDel="00000000" w:rsidR="00000000" w:rsidRPr="00000000">
        <w:rPr>
          <w:rtl w:val="0"/>
        </w:rPr>
      </w:r>
    </w:p>
  </w:footnote>
  <w:footnote w:id="120">
    <w:p w:rsidR="00000000" w:rsidDel="00000000" w:rsidP="00000000" w:rsidRDefault="00000000" w:rsidRPr="00000000" w14:paraId="000000CD">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Id.</w:t>
      </w:r>
      <w:r w:rsidDel="00000000" w:rsidR="00000000" w:rsidRPr="00000000">
        <w:rPr>
          <w:rtl w:val="0"/>
        </w:rPr>
      </w:r>
    </w:p>
  </w:footnote>
  <w:footnote w:id="121">
    <w:p w:rsidR="00000000" w:rsidDel="00000000" w:rsidP="00000000" w:rsidRDefault="00000000" w:rsidRPr="00000000" w14:paraId="000000CE">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p>
  </w:footnote>
  <w:footnote w:id="122">
    <w:p w:rsidR="00000000" w:rsidDel="00000000" w:rsidP="00000000" w:rsidRDefault="00000000" w:rsidRPr="00000000" w14:paraId="000000CF">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 Id.</w:t>
      </w:r>
      <w:r w:rsidDel="00000000" w:rsidR="00000000" w:rsidRPr="00000000">
        <w:rPr>
          <w:rtl w:val="0"/>
        </w:rPr>
      </w:r>
    </w:p>
  </w:footnote>
  <w:footnote w:id="123">
    <w:p w:rsidR="00000000" w:rsidDel="00000000" w:rsidP="00000000" w:rsidRDefault="00000000" w:rsidRPr="00000000" w14:paraId="000000D0">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 Int’l Fed’n of Gynecology &amp; Obstetrics, Ethical Issues in Obstetrics and Gynecology (2019); </w:t>
      </w:r>
      <w:r w:rsidDel="00000000" w:rsidR="00000000" w:rsidRPr="00000000">
        <w:rPr>
          <w:rFonts w:ascii="Fraunces Light" w:cs="Fraunces Light" w:eastAsia="Fraunces Light" w:hAnsi="Fraunces Light"/>
          <w:i w:val="1"/>
          <w:iCs w:val="1"/>
          <w:color w:val="000000"/>
          <w:sz w:val="20"/>
          <w:szCs w:val="20"/>
          <w:rtl w:val="0"/>
        </w:rPr>
        <w:t xml:space="preserve">Manuela v. El Salvador, Inter-Am. Comm’n H.R.</w:t>
      </w:r>
      <w:r w:rsidDel="00000000" w:rsidR="00000000" w:rsidRPr="00000000">
        <w:rPr>
          <w:rFonts w:ascii="Fraunces Light" w:cs="Fraunces Light" w:eastAsia="Fraunces Light" w:hAnsi="Fraunces Light"/>
          <w:color w:val="000000"/>
          <w:sz w:val="20"/>
          <w:szCs w:val="20"/>
          <w:rtl w:val="0"/>
        </w:rPr>
        <w:t xml:space="preserve">, Report No. 153/18 (2018).</w:t>
      </w:r>
    </w:p>
  </w:footnote>
  <w:footnote w:id="124">
    <w:p w:rsidR="00000000" w:rsidDel="00000000" w:rsidP="00000000" w:rsidRDefault="00000000" w:rsidRPr="00000000" w14:paraId="000000D1">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Manuela v. El Salvador, Inter-Am. Comm’n H.R</w:t>
      </w:r>
      <w:r w:rsidDel="00000000" w:rsidR="00000000" w:rsidRPr="00000000">
        <w:rPr>
          <w:rFonts w:ascii="Fraunces Light" w:cs="Fraunces Light" w:eastAsia="Fraunces Light" w:hAnsi="Fraunces Light"/>
          <w:color w:val="000000"/>
          <w:sz w:val="20"/>
          <w:szCs w:val="20"/>
          <w:rtl w:val="0"/>
        </w:rPr>
        <w:t xml:space="preserve">., Report No. 153/18 (2018); </w:t>
      </w:r>
      <w:r w:rsidDel="00000000" w:rsidR="00000000" w:rsidRPr="00000000">
        <w:rPr>
          <w:rFonts w:ascii="Fraunces Light" w:cs="Fraunces Light" w:eastAsia="Fraunces Light" w:hAnsi="Fraunces Light"/>
          <w:i w:val="1"/>
          <w:iCs w:val="1"/>
          <w:color w:val="000000"/>
          <w:sz w:val="20"/>
          <w:szCs w:val="20"/>
          <w:rtl w:val="0"/>
        </w:rPr>
        <w:t xml:space="preserve"> Llantoy Huamán v. Peru, U.N. Human Rights Comm</w:t>
      </w:r>
      <w:r w:rsidDel="00000000" w:rsidR="00000000" w:rsidRPr="00000000">
        <w:rPr>
          <w:rFonts w:ascii="Fraunces Light" w:cs="Fraunces Light" w:eastAsia="Fraunces Light" w:hAnsi="Fraunces Light"/>
          <w:color w:val="000000"/>
          <w:sz w:val="20"/>
          <w:szCs w:val="20"/>
          <w:rtl w:val="0"/>
        </w:rPr>
        <w:t xml:space="preserve">., Commc’n No. 1153/2003 (2005); World Health Organization, Abortion Care Guideline (2022).</w:t>
      </w:r>
    </w:p>
  </w:footnote>
  <w:footnote w:id="125">
    <w:p w:rsidR="00000000" w:rsidDel="00000000" w:rsidP="00000000" w:rsidRDefault="00000000" w:rsidRPr="00000000" w14:paraId="000000D2">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i w:val="1"/>
          <w:iCs w:val="1"/>
          <w:color w:val="000000"/>
          <w:sz w:val="20"/>
          <w:szCs w:val="20"/>
          <w:rtl w:val="0"/>
        </w:rPr>
        <w:t xml:space="preserve">Federation of Women Lawyers Kenya (FIDA-Kenya) &amp; 3 Others v. Att’y Gen. &amp; 2 Others</w:t>
      </w:r>
      <w:r w:rsidDel="00000000" w:rsidR="00000000" w:rsidRPr="00000000">
        <w:rPr>
          <w:rFonts w:ascii="Fraunces Light" w:cs="Fraunces Light" w:eastAsia="Fraunces Light" w:hAnsi="Fraunces Light"/>
          <w:color w:val="000000"/>
          <w:sz w:val="20"/>
          <w:szCs w:val="20"/>
          <w:rtl w:val="0"/>
        </w:rPr>
        <w:t xml:space="preserve">, Petition No. 266 of 2015 (High Ct. Kenya 2019); Kenya Judiciary, Press Summary: Petition 266 of 2015 (2019)</w:t>
      </w:r>
    </w:p>
  </w:footnote>
  <w:footnote w:id="126">
    <w:p w:rsidR="00000000" w:rsidDel="00000000" w:rsidP="00000000" w:rsidRDefault="00000000" w:rsidRPr="00000000" w14:paraId="000000D3">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Manuela v. El Salvador, Inter-Am. Comm’n H.R., </w:t>
      </w:r>
      <w:r w:rsidDel="00000000" w:rsidR="00000000" w:rsidRPr="00000000">
        <w:rPr>
          <w:rFonts w:ascii="Fraunces Light" w:cs="Fraunces Light" w:eastAsia="Fraunces Light" w:hAnsi="Fraunces Light"/>
          <w:color w:val="000000"/>
          <w:sz w:val="20"/>
          <w:szCs w:val="20"/>
          <w:rtl w:val="0"/>
        </w:rPr>
        <w:t xml:space="preserve">Report No. 153/18 (2018);</w:t>
      </w:r>
      <w:r w:rsidDel="00000000" w:rsidR="00000000" w:rsidRPr="00000000">
        <w:rPr>
          <w:rFonts w:ascii="Fraunces Light" w:cs="Fraunces Light" w:eastAsia="Fraunces Light" w:hAnsi="Fraunces Light"/>
          <w:i w:val="1"/>
          <w:iCs w:val="1"/>
          <w:color w:val="000000"/>
          <w:sz w:val="20"/>
          <w:szCs w:val="20"/>
          <w:rtl w:val="0"/>
        </w:rPr>
        <w:t xml:space="preserve"> Llantoy Huamán v. Peru, U.N. Human Rights Comm</w:t>
      </w:r>
      <w:r w:rsidDel="00000000" w:rsidR="00000000" w:rsidRPr="00000000">
        <w:rPr>
          <w:rFonts w:ascii="Fraunces Light" w:cs="Fraunces Light" w:eastAsia="Fraunces Light" w:hAnsi="Fraunces Light"/>
          <w:color w:val="000000"/>
          <w:sz w:val="20"/>
          <w:szCs w:val="20"/>
          <w:rtl w:val="0"/>
        </w:rPr>
        <w:t xml:space="preserve">., Commc’n No. 1153/2003 (2005).</w:t>
      </w:r>
    </w:p>
  </w:footnote>
  <w:footnote w:id="127">
    <w:p w:rsidR="00000000" w:rsidDel="00000000" w:rsidP="00000000" w:rsidRDefault="00000000" w:rsidRPr="00000000" w14:paraId="000000D4">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 Int’l Fed’n of Gynecology &amp; Obstetrics, Ethical Issues in Obstetrics and Gynecology (2019).</w:t>
      </w:r>
    </w:p>
  </w:footnote>
  <w:footnote w:id="131">
    <w:p w:rsidR="00000000" w:rsidDel="00000000" w:rsidP="00000000" w:rsidRDefault="00000000" w:rsidRPr="00000000" w14:paraId="000000D5">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 Int’l Fed’n of Gynecology &amp; Obstetrics, Ethical Issues in Obstetrics and Gynecology (2019);</w:t>
      </w:r>
      <w:r w:rsidDel="00000000" w:rsidR="00000000" w:rsidRPr="00000000">
        <w:rPr>
          <w:rFonts w:ascii="Fraunces Light" w:cs="Fraunces Light" w:eastAsia="Fraunces Light" w:hAnsi="Fraunces Light"/>
          <w:i w:val="1"/>
          <w:iCs w:val="1"/>
          <w:color w:val="000000"/>
          <w:sz w:val="20"/>
          <w:szCs w:val="20"/>
          <w:rtl w:val="0"/>
        </w:rPr>
        <w:t xml:space="preserve"> </w:t>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Zurawski v. Texas</w:t>
      </w:r>
      <w:r w:rsidDel="00000000" w:rsidR="00000000" w:rsidRPr="00000000">
        <w:rPr>
          <w:rFonts w:ascii="Fraunces Light" w:cs="Fraunces Light" w:eastAsia="Fraunces Light" w:hAnsi="Fraunces Light"/>
          <w:color w:val="000000"/>
          <w:sz w:val="20"/>
          <w:szCs w:val="20"/>
          <w:rtl w:val="0"/>
        </w:rPr>
        <w:t xml:space="preserve">, No. D-1-GN-23-000968 (Tex. Dist. Ct. filed 2023).</w:t>
      </w:r>
      <w:r w:rsidDel="00000000" w:rsidR="00000000" w:rsidRPr="00000000">
        <w:rPr>
          <w:rtl w:val="0"/>
        </w:rPr>
      </w:r>
    </w:p>
  </w:footnote>
  <w:footnote w:id="132">
    <w:p w:rsidR="00000000" w:rsidDel="00000000" w:rsidP="00000000" w:rsidRDefault="00000000" w:rsidRPr="00000000" w14:paraId="000000D6">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 Am. Coll. of Obstetricians &amp; Gynecologists, Practice Bulletin No. 200: Early Pregnancy Loss (2018, reaffirmed 2021).</w:t>
      </w:r>
    </w:p>
  </w:footnote>
  <w:footnote w:id="133">
    <w:p w:rsidR="00000000" w:rsidDel="00000000" w:rsidP="00000000" w:rsidRDefault="00000000" w:rsidRPr="00000000" w14:paraId="000000D7">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Manuela v. El Salvador, Inter-Am. Comm’n H.R., </w:t>
      </w:r>
      <w:r w:rsidDel="00000000" w:rsidR="00000000" w:rsidRPr="00000000">
        <w:rPr>
          <w:rFonts w:ascii="Fraunces Light" w:cs="Fraunces Light" w:eastAsia="Fraunces Light" w:hAnsi="Fraunces Light"/>
          <w:color w:val="000000"/>
          <w:sz w:val="20"/>
          <w:szCs w:val="20"/>
          <w:rtl w:val="0"/>
        </w:rPr>
        <w:t xml:space="preserve">Report No. 153/18 (2018); World Health Organization, Abortion Care Guideline (2022)</w:t>
      </w:r>
    </w:p>
  </w:footnote>
  <w:footnote w:id="134">
    <w:p w:rsidR="00000000" w:rsidDel="00000000" w:rsidP="00000000" w:rsidRDefault="00000000" w:rsidRPr="00000000" w14:paraId="000000D8">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Colautti v. Franklin, </w:t>
      </w:r>
      <w:r w:rsidDel="00000000" w:rsidR="00000000" w:rsidRPr="00000000">
        <w:rPr>
          <w:rFonts w:ascii="Fraunces Light" w:cs="Fraunces Light" w:eastAsia="Fraunces Light" w:hAnsi="Fraunces Light"/>
          <w:color w:val="000000"/>
          <w:sz w:val="20"/>
          <w:szCs w:val="20"/>
          <w:rtl w:val="0"/>
        </w:rPr>
        <w:t xml:space="preserve">439 U.S. 379 (1979); </w:t>
      </w:r>
      <w:r w:rsidDel="00000000" w:rsidR="00000000" w:rsidRPr="00000000">
        <w:rPr>
          <w:rFonts w:ascii="Fraunces Light" w:cs="Fraunces Light" w:eastAsia="Fraunces Light" w:hAnsi="Fraunces Light"/>
          <w:i w:val="1"/>
          <w:iCs w:val="1"/>
          <w:color w:val="000000"/>
          <w:sz w:val="20"/>
          <w:szCs w:val="20"/>
          <w:rtl w:val="0"/>
        </w:rPr>
        <w:t xml:space="preserve">Stenberg v. Carhart</w:t>
      </w:r>
      <w:r w:rsidDel="00000000" w:rsidR="00000000" w:rsidRPr="00000000">
        <w:rPr>
          <w:rFonts w:ascii="Fraunces Light" w:cs="Fraunces Light" w:eastAsia="Fraunces Light" w:hAnsi="Fraunces Light"/>
          <w:color w:val="000000"/>
          <w:sz w:val="20"/>
          <w:szCs w:val="20"/>
          <w:rtl w:val="0"/>
        </w:rPr>
        <w:t xml:space="preserve">, 530 U.S. 914 (2000);   </w:t>
      </w:r>
      <w:r w:rsidDel="00000000" w:rsidR="00000000" w:rsidRPr="00000000">
        <w:rPr>
          <w:rFonts w:ascii="Fraunces Light" w:cs="Fraunces Light" w:eastAsia="Fraunces Light" w:hAnsi="Fraunces Light"/>
          <w:i w:val="1"/>
          <w:iCs w:val="1"/>
          <w:color w:val="000000"/>
          <w:sz w:val="20"/>
          <w:szCs w:val="20"/>
          <w:rtl w:val="0"/>
        </w:rPr>
        <w:t xml:space="preserve">Zurawski v. Texas</w:t>
      </w:r>
      <w:r w:rsidDel="00000000" w:rsidR="00000000" w:rsidRPr="00000000">
        <w:rPr>
          <w:rFonts w:ascii="Fraunces Light" w:cs="Fraunces Light" w:eastAsia="Fraunces Light" w:hAnsi="Fraunces Light"/>
          <w:color w:val="000000"/>
          <w:sz w:val="20"/>
          <w:szCs w:val="20"/>
          <w:rtl w:val="0"/>
        </w:rPr>
        <w:t xml:space="preserve">, No. D-1-GN-23-000968 (Tex. Dist. Ct. filed 2023).</w:t>
      </w:r>
      <w:r w:rsidDel="00000000" w:rsidR="00000000" w:rsidRPr="00000000">
        <w:rPr>
          <w:rtl w:val="0"/>
        </w:rPr>
      </w:r>
    </w:p>
  </w:footnote>
  <w:footnote w:id="135">
    <w:p w:rsidR="00000000" w:rsidDel="00000000" w:rsidP="00000000" w:rsidRDefault="00000000" w:rsidRPr="00000000" w14:paraId="000000D9">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 Int’l Fed’n of Gynecology &amp; Obstetrics, Ethical Issues in Obstetrics and Gynecology (2019); </w:t>
      </w:r>
      <w:r w:rsidDel="00000000" w:rsidR="00000000" w:rsidRPr="00000000">
        <w:rPr>
          <w:rFonts w:ascii="Fraunces Light" w:cs="Fraunces Light" w:eastAsia="Fraunces Light" w:hAnsi="Fraunces Light"/>
          <w:i w:val="1"/>
          <w:iCs w:val="1"/>
          <w:color w:val="000000"/>
          <w:sz w:val="20"/>
          <w:szCs w:val="20"/>
          <w:rtl w:val="0"/>
        </w:rPr>
        <w:t xml:space="preserve">Manuela v. El Salvador, Inter-Am. Comm’n H.R., </w:t>
      </w:r>
      <w:r w:rsidDel="00000000" w:rsidR="00000000" w:rsidRPr="00000000">
        <w:rPr>
          <w:rFonts w:ascii="Fraunces Light" w:cs="Fraunces Light" w:eastAsia="Fraunces Light" w:hAnsi="Fraunces Light"/>
          <w:color w:val="000000"/>
          <w:sz w:val="20"/>
          <w:szCs w:val="20"/>
          <w:rtl w:val="0"/>
        </w:rPr>
        <w:t xml:space="preserve">Report No. 153/18 (2018); </w:t>
      </w:r>
      <w:r w:rsidDel="00000000" w:rsidR="00000000" w:rsidRPr="00000000">
        <w:rPr>
          <w:rFonts w:ascii="Fraunces Light" w:cs="Fraunces Light" w:eastAsia="Fraunces Light" w:hAnsi="Fraunces Light"/>
          <w:i w:val="1"/>
          <w:iCs w:val="1"/>
          <w:color w:val="000000"/>
          <w:sz w:val="20"/>
          <w:szCs w:val="20"/>
          <w:rtl w:val="0"/>
        </w:rPr>
        <w:t xml:space="preserve"> Llantoy Huamán v. Peru, U.N. Human Rights Comm</w:t>
      </w:r>
      <w:r w:rsidDel="00000000" w:rsidR="00000000" w:rsidRPr="00000000">
        <w:rPr>
          <w:rFonts w:ascii="Fraunces Light" w:cs="Fraunces Light" w:eastAsia="Fraunces Light" w:hAnsi="Fraunces Light"/>
          <w:color w:val="000000"/>
          <w:sz w:val="20"/>
          <w:szCs w:val="20"/>
          <w:rtl w:val="0"/>
        </w:rPr>
        <w:t xml:space="preserve">., Commc’n No. 1153/2003 (2005).</w:t>
      </w:r>
      <w:r w:rsidDel="00000000" w:rsidR="00000000" w:rsidRPr="00000000">
        <w:rPr>
          <w:rtl w:val="0"/>
        </w:rPr>
      </w:r>
    </w:p>
  </w:footnote>
  <w:footnote w:id="136">
    <w:p w:rsidR="00000000" w:rsidDel="00000000" w:rsidP="00000000" w:rsidRDefault="00000000" w:rsidRPr="00000000" w14:paraId="000000DA">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Dobbs v. Jackson Women’s Health Org</w:t>
      </w:r>
      <w:r w:rsidDel="00000000" w:rsidR="00000000" w:rsidRPr="00000000">
        <w:rPr>
          <w:rFonts w:ascii="Fraunces Light" w:cs="Fraunces Light" w:eastAsia="Fraunces Light" w:hAnsi="Fraunces Light"/>
          <w:color w:val="000000"/>
          <w:sz w:val="20"/>
          <w:szCs w:val="20"/>
          <w:rtl w:val="0"/>
        </w:rPr>
        <w:t xml:space="preserve">., 597 U.S. 215 (2022)</w:t>
      </w:r>
    </w:p>
  </w:footnote>
  <w:footnote w:id="137">
    <w:p w:rsidR="00000000" w:rsidDel="00000000" w:rsidP="00000000" w:rsidRDefault="00000000" w:rsidRPr="00000000" w14:paraId="000000DB">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Dobbs</w:t>
      </w:r>
      <w:r w:rsidDel="00000000" w:rsidR="00000000" w:rsidRPr="00000000">
        <w:rPr>
          <w:rFonts w:ascii="Fraunces Light" w:cs="Fraunces Light" w:eastAsia="Fraunces Light" w:hAnsi="Fraunces Light"/>
          <w:color w:val="000000"/>
          <w:sz w:val="20"/>
          <w:szCs w:val="20"/>
          <w:rtl w:val="0"/>
        </w:rPr>
        <w:t xml:space="preserve">, 597 U.S. 215; Tex. Health &amp; Safety Code §§ 170A.001–.007; Okla. Exec. Order No. 2025-16</w:t>
      </w:r>
    </w:p>
  </w:footnote>
  <w:footnote w:id="138">
    <w:p w:rsidR="00000000" w:rsidDel="00000000" w:rsidP="00000000" w:rsidRDefault="00000000" w:rsidRPr="00000000" w14:paraId="000000DC">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 Int’l Fed’n of Gynecology &amp; Obstetrics, Ethical Issues in Obstetrics and Gynecology (2019).</w:t>
      </w:r>
    </w:p>
  </w:footnote>
  <w:footnote w:id="139">
    <w:p w:rsidR="00000000" w:rsidDel="00000000" w:rsidP="00000000" w:rsidRDefault="00000000" w:rsidRPr="00000000" w14:paraId="000000DD">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Letter from Daniel Tsai, Deputy Adm’r &amp; Dir., Ctrs. for Medicare &amp; Medicaid Servs., to Alexandra Adams, Dir., Idaho Dep’t of Health &amp; Welfare (Feb. 21, 2025).</w:t>
      </w:r>
    </w:p>
  </w:footnote>
  <w:footnote w:id="140">
    <w:p w:rsidR="00000000" w:rsidDel="00000000" w:rsidP="00000000" w:rsidRDefault="00000000" w:rsidRPr="00000000" w14:paraId="000000DE">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Tex. Health &amp; Safety Code §§ 170A.001–.007;  </w:t>
      </w:r>
      <w:r w:rsidDel="00000000" w:rsidR="00000000" w:rsidRPr="00000000">
        <w:rPr>
          <w:rFonts w:ascii="Fraunces Light" w:cs="Fraunces Light" w:eastAsia="Fraunces Light" w:hAnsi="Fraunces Light"/>
          <w:i w:val="1"/>
          <w:iCs w:val="1"/>
          <w:color w:val="000000"/>
          <w:sz w:val="20"/>
          <w:szCs w:val="20"/>
          <w:rtl w:val="0"/>
        </w:rPr>
        <w:t xml:space="preserve">Zurawski v. Texas</w:t>
      </w:r>
      <w:r w:rsidDel="00000000" w:rsidR="00000000" w:rsidRPr="00000000">
        <w:rPr>
          <w:rFonts w:ascii="Fraunces Light" w:cs="Fraunces Light" w:eastAsia="Fraunces Light" w:hAnsi="Fraunces Light"/>
          <w:color w:val="000000"/>
          <w:sz w:val="20"/>
          <w:szCs w:val="20"/>
          <w:rtl w:val="0"/>
        </w:rPr>
        <w:t xml:space="preserve">, No. D-1-GN-23-000968 (Tex. Dist. Ct. filed 2023).</w:t>
      </w:r>
    </w:p>
  </w:footnote>
  <w:footnote w:id="141">
    <w:p w:rsidR="00000000" w:rsidDel="00000000" w:rsidP="00000000" w:rsidRDefault="00000000" w:rsidRPr="00000000" w14:paraId="000000DF">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Okla. Exec. Order No. 2025-16</w:t>
      </w:r>
    </w:p>
  </w:footnote>
  <w:footnote w:id="142">
    <w:p w:rsidR="00000000" w:rsidDel="00000000" w:rsidP="00000000" w:rsidRDefault="00000000" w:rsidRPr="00000000" w14:paraId="000000E0">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 Int’l Fed’n of Gynecology &amp; Obstetrics, Ethical Issues in Obstetrics and Gynecology (2019).</w:t>
      </w:r>
    </w:p>
  </w:footnote>
  <w:footnote w:id="143">
    <w:p w:rsidR="00000000" w:rsidDel="00000000" w:rsidP="00000000" w:rsidRDefault="00000000" w:rsidRPr="00000000" w14:paraId="000000E1">
      <w:pPr>
        <w:spacing w:line="240" w:lineRule="auto"/>
        <w:ind w:left="0" w:firstLine="0"/>
        <w:rPr>
          <w:rFonts w:ascii="Fraunces Light" w:cs="Fraunces Light" w:eastAsia="Fraunces Light" w:hAnsi="Fraunces Light"/>
          <w:i w:val="1"/>
          <w:iCs w:val="1"/>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Dobbs v. Jackson Women’s Health Org., 597 U.S. 215 (2022); </w:t>
      </w:r>
      <w:r w:rsidDel="00000000" w:rsidR="00000000" w:rsidRPr="00000000">
        <w:rPr>
          <w:rFonts w:ascii="Fraunces Light" w:cs="Fraunces Light" w:eastAsia="Fraunces Light" w:hAnsi="Fraunces Light"/>
          <w:i w:val="1"/>
          <w:iCs w:val="1"/>
          <w:color w:val="000000"/>
          <w:sz w:val="20"/>
          <w:szCs w:val="20"/>
          <w:rtl w:val="0"/>
        </w:rPr>
        <w:t xml:space="preserve">Manuela v. El Salvador, Inter-Am. Comm’n H.R., </w:t>
      </w:r>
      <w:r w:rsidDel="00000000" w:rsidR="00000000" w:rsidRPr="00000000">
        <w:rPr>
          <w:rFonts w:ascii="Fraunces Light" w:cs="Fraunces Light" w:eastAsia="Fraunces Light" w:hAnsi="Fraunces Light"/>
          <w:color w:val="000000"/>
          <w:sz w:val="20"/>
          <w:szCs w:val="20"/>
          <w:rtl w:val="0"/>
        </w:rPr>
        <w:t xml:space="preserve">Report No. 153/18 (2018).</w:t>
      </w:r>
      <w:r w:rsidDel="00000000" w:rsidR="00000000" w:rsidRPr="00000000">
        <w:rPr>
          <w:rtl w:val="0"/>
        </w:rPr>
      </w:r>
    </w:p>
  </w:footnote>
  <w:footnote w:id="144">
    <w:p w:rsidR="00000000" w:rsidDel="00000000" w:rsidP="00000000" w:rsidRDefault="00000000" w:rsidRPr="00000000" w14:paraId="000000E2">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World Health Organization, Abortion Care Guideline (2022); Int’l Fed’n of Gynecology &amp; Obstetrics, Ethical Issues in Obstetrics and Gynecology (2019).</w:t>
      </w:r>
    </w:p>
  </w:footnote>
  <w:footnote w:id="145">
    <w:p w:rsidR="00000000" w:rsidDel="00000000" w:rsidP="00000000" w:rsidRDefault="00000000" w:rsidRPr="00000000" w14:paraId="000000E3">
      <w:pPr>
        <w:spacing w:line="240" w:lineRule="auto"/>
        <w:ind w:left="0" w:firstLine="0"/>
        <w:rPr>
          <w:rFonts w:ascii="Fraunces Light" w:cs="Fraunces Light" w:eastAsia="Fraunces Light" w:hAnsi="Fraunces Light"/>
          <w:color w:val="000000"/>
          <w:sz w:val="20"/>
          <w:szCs w:val="20"/>
        </w:rPr>
      </w:pPr>
      <w:r w:rsidDel="00000000" w:rsidR="00000000" w:rsidRPr="00000000">
        <w:rPr>
          <w:rStyle w:val="FootnoteReference"/>
          <w:vertAlign w:val="superscript"/>
        </w:rPr>
        <w:footnoteRef/>
      </w:r>
      <w:r w:rsidDel="00000000" w:rsidR="00000000" w:rsidRPr="00000000">
        <w:rPr>
          <w:rFonts w:ascii="Fraunces Light" w:cs="Fraunces Light" w:eastAsia="Fraunces Light" w:hAnsi="Fraunces Light"/>
          <w:color w:val="000000"/>
          <w:sz w:val="20"/>
          <w:szCs w:val="20"/>
          <w:rtl w:val="0"/>
        </w:rPr>
        <w:t xml:space="preserve"> </w:t>
      </w:r>
      <w:r w:rsidDel="00000000" w:rsidR="00000000" w:rsidRPr="00000000">
        <w:rPr>
          <w:rFonts w:ascii="Fraunces Light" w:cs="Fraunces Light" w:eastAsia="Fraunces Light" w:hAnsi="Fraunces Light"/>
          <w:i w:val="1"/>
          <w:iCs w:val="1"/>
          <w:color w:val="000000"/>
          <w:sz w:val="20"/>
          <w:szCs w:val="20"/>
          <w:rtl w:val="0"/>
        </w:rPr>
        <w:t xml:space="preserve">Zurawski v. Texas</w:t>
      </w:r>
      <w:r w:rsidDel="00000000" w:rsidR="00000000" w:rsidRPr="00000000">
        <w:rPr>
          <w:rFonts w:ascii="Fraunces Light" w:cs="Fraunces Light" w:eastAsia="Fraunces Light" w:hAnsi="Fraunces Light"/>
          <w:color w:val="000000"/>
          <w:sz w:val="20"/>
          <w:szCs w:val="20"/>
          <w:rtl w:val="0"/>
        </w:rPr>
        <w:t xml:space="preserve">, No. D-1-GN-23-000968 (Tex. Dist. Ct. filed 2023); </w:t>
      </w:r>
      <w:r w:rsidDel="00000000" w:rsidR="00000000" w:rsidRPr="00000000">
        <w:rPr>
          <w:rFonts w:ascii="Fraunces Light" w:cs="Fraunces Light" w:eastAsia="Fraunces Light" w:hAnsi="Fraunces Light"/>
          <w:i w:val="1"/>
          <w:iCs w:val="1"/>
          <w:color w:val="000000"/>
          <w:sz w:val="20"/>
          <w:szCs w:val="20"/>
          <w:rtl w:val="0"/>
        </w:rPr>
        <w:t xml:space="preserve">Manuela v. El Salvador, Inter-Am. Comm’n H.R., </w:t>
      </w:r>
      <w:r w:rsidDel="00000000" w:rsidR="00000000" w:rsidRPr="00000000">
        <w:rPr>
          <w:rFonts w:ascii="Fraunces Light" w:cs="Fraunces Light" w:eastAsia="Fraunces Light" w:hAnsi="Fraunces Light"/>
          <w:color w:val="000000"/>
          <w:sz w:val="20"/>
          <w:szCs w:val="20"/>
          <w:rtl w:val="0"/>
        </w:rPr>
        <w:t xml:space="preserve">Report No. 153/18 (2018); World Health Organization, Abortion Care Guideline (2022)</w:t>
      </w:r>
    </w:p>
  </w:footnote>
  <w:footnote w:id="128">
    <w:p w:rsidR="00000000" w:rsidDel="00000000" w:rsidP="00000000" w:rsidRDefault="00000000" w:rsidRPr="00000000" w14:paraId="000000E6">
      <w:pPr>
        <w:spacing w:line="240" w:lineRule="auto"/>
        <w:ind w:left="0" w:firstLine="0"/>
        <w:rPr>
          <w:sz w:val="20"/>
          <w:szCs w:val="20"/>
          <w:highlight w:val="yellow"/>
        </w:rPr>
      </w:pPr>
      <w:r w:rsidDel="00000000" w:rsidR="00000000" w:rsidRPr="00000000">
        <w:rPr>
          <w:rStyle w:val="FootnoteReference"/>
          <w:vertAlign w:val="superscript"/>
        </w:rPr>
        <w:footnoteRef/>
      </w:r>
      <w:r w:rsidDel="00000000" w:rsidR="00000000" w:rsidRPr="00000000">
        <w:rPr>
          <w:i w:val="1"/>
          <w:iCs w:val="1"/>
          <w:sz w:val="20"/>
          <w:szCs w:val="20"/>
          <w:rtl w:val="0"/>
        </w:rPr>
        <w:t xml:space="preserve">Manuela v. El Salvador, Inter-Am. Comm’n H.R., </w:t>
      </w:r>
      <w:r w:rsidDel="00000000" w:rsidR="00000000" w:rsidRPr="00000000">
        <w:rPr>
          <w:sz w:val="20"/>
          <w:szCs w:val="20"/>
          <w:rtl w:val="0"/>
        </w:rPr>
        <w:t xml:space="preserve">Report No. 153/18 (2018); World Health Organization, Abortion Care Guideline (2022)</w:t>
      </w:r>
      <w:r w:rsidDel="00000000" w:rsidR="00000000" w:rsidRPr="00000000">
        <w:rPr>
          <w:rtl w:val="0"/>
        </w:rPr>
      </w:r>
    </w:p>
  </w:footnote>
  <w:footnote w:id="129">
    <w:p w:rsidR="00000000" w:rsidDel="00000000" w:rsidP="00000000" w:rsidRDefault="00000000" w:rsidRPr="00000000" w14:paraId="000000E7">
      <w:pPr>
        <w:spacing w:line="240" w:lineRule="auto"/>
        <w:ind w:left="0" w:firstLine="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World Health Organization, Abortion Care Guideline (2022); Int’l Fed’n of Gynecology &amp; Obstetrics, Ethical Issues in Obstetrics and Gynecology (2019).</w:t>
      </w:r>
    </w:p>
  </w:footnote>
  <w:footnote w:id="130">
    <w:p w:rsidR="00000000" w:rsidDel="00000000" w:rsidP="00000000" w:rsidRDefault="00000000" w:rsidRPr="00000000" w14:paraId="000000E8">
      <w:pPr>
        <w:spacing w:line="240" w:lineRule="auto"/>
        <w:ind w:left="0" w:firstLine="0"/>
        <w:rPr>
          <w:sz w:val="20"/>
          <w:szCs w:val="20"/>
        </w:rPr>
      </w:pPr>
      <w:r w:rsidDel="00000000" w:rsidR="00000000" w:rsidRPr="00000000">
        <w:rPr>
          <w:rStyle w:val="FootnoteReference"/>
          <w:vertAlign w:val="superscript"/>
        </w:rPr>
        <w:footnoteRef/>
      </w:r>
      <w:r w:rsidDel="00000000" w:rsidR="00000000" w:rsidRPr="00000000">
        <w:rPr>
          <w:i w:val="1"/>
          <w:iCs w:val="1"/>
          <w:sz w:val="20"/>
          <w:szCs w:val="20"/>
          <w:rtl w:val="0"/>
        </w:rPr>
        <w:t xml:space="preserve">Manuela v. El Salvador, Inter-Am. Comm’n H.R., </w:t>
      </w:r>
      <w:r w:rsidDel="00000000" w:rsidR="00000000" w:rsidRPr="00000000">
        <w:rPr>
          <w:sz w:val="20"/>
          <w:szCs w:val="20"/>
          <w:rtl w:val="0"/>
        </w:rPr>
        <w:t xml:space="preserve">Report No. 153/18 (2018); Int’l Fed’n of Gynecology &amp; Obstetrics, Ethical Issues in Obstetrics and Gynecology (2019).</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Fraunces Light" w:cs="Fraunces Light" w:eastAsia="Fraunces Light" w:hAnsi="Fraunces Light"/>
        <w:sz w:val="22"/>
        <w:szCs w:val="22"/>
        <w:lang w:val="en"/>
      </w:rPr>
    </w:rPrDefault>
    <w:pPrDefault>
      <w:pPr>
        <w:spacing w:line="276" w:lineRule="auto"/>
        <w:ind w:left="72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480" w:lineRule="auto"/>
      <w:ind w:left="0" w:firstLine="0"/>
    </w:pPr>
    <w:rPr>
      <w:rFonts w:ascii="Fraunces Medium" w:cs="Fraunces Medium" w:eastAsia="Fraunces Medium" w:hAnsi="Fraunces Medium"/>
      <w:color w:val="000000"/>
      <w:sz w:val="32"/>
      <w:szCs w:val="32"/>
    </w:rPr>
  </w:style>
  <w:style w:type="paragraph" w:styleId="Heading2">
    <w:name w:val="heading 2"/>
    <w:basedOn w:val="Normal"/>
    <w:next w:val="Normal"/>
    <w:pPr>
      <w:keepNext w:val="1"/>
      <w:keepLines w:val="1"/>
      <w:spacing w:line="480" w:lineRule="auto"/>
      <w:ind w:left="0" w:firstLine="0"/>
    </w:pPr>
    <w:rPr>
      <w:rFonts w:ascii="Fraunces" w:cs="Fraunces" w:eastAsia="Fraunces" w:hAnsi="Fraunces"/>
      <w:color w:val="000000"/>
      <w:sz w:val="28"/>
      <w:szCs w:val="28"/>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ind w:left="360"/>
    </w:pPr>
    <w:rPr>
      <w:color w:val="000000"/>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FrauncesSemiBold-italic.ttf"/><Relationship Id="rId10" Type="http://schemas.openxmlformats.org/officeDocument/2006/relationships/font" Target="fonts/FrauncesSemiBold-bold.ttf"/><Relationship Id="rId13" Type="http://schemas.openxmlformats.org/officeDocument/2006/relationships/font" Target="fonts/FrauncesLight-regular.ttf"/><Relationship Id="rId12" Type="http://schemas.openxmlformats.org/officeDocument/2006/relationships/font" Target="fonts/FrauncesSemiBold-boldItalic.ttf"/><Relationship Id="rId1" Type="http://schemas.openxmlformats.org/officeDocument/2006/relationships/font" Target="fonts/Fraunces-regular.ttf"/><Relationship Id="rId2" Type="http://schemas.openxmlformats.org/officeDocument/2006/relationships/font" Target="fonts/Fraunces-bold.ttf"/><Relationship Id="rId3" Type="http://schemas.openxmlformats.org/officeDocument/2006/relationships/font" Target="fonts/Fraunces-italic.ttf"/><Relationship Id="rId4" Type="http://schemas.openxmlformats.org/officeDocument/2006/relationships/font" Target="fonts/Fraunces-boldItalic.ttf"/><Relationship Id="rId9" Type="http://schemas.openxmlformats.org/officeDocument/2006/relationships/font" Target="fonts/FrauncesSemiBold-regular.ttf"/><Relationship Id="rId15" Type="http://schemas.openxmlformats.org/officeDocument/2006/relationships/font" Target="fonts/FrauncesLight-italic.ttf"/><Relationship Id="rId14" Type="http://schemas.openxmlformats.org/officeDocument/2006/relationships/font" Target="fonts/FrauncesLight-bold.ttf"/><Relationship Id="rId16" Type="http://schemas.openxmlformats.org/officeDocument/2006/relationships/font" Target="fonts/FrauncesLight-boldItalic.ttf"/><Relationship Id="rId5" Type="http://schemas.openxmlformats.org/officeDocument/2006/relationships/font" Target="fonts/FrauncesMedium-regular.ttf"/><Relationship Id="rId6" Type="http://schemas.openxmlformats.org/officeDocument/2006/relationships/font" Target="fonts/FrauncesMedium-bold.ttf"/><Relationship Id="rId7" Type="http://schemas.openxmlformats.org/officeDocument/2006/relationships/font" Target="fonts/FrauncesMedium-italic.ttf"/><Relationship Id="rId8" Type="http://schemas.openxmlformats.org/officeDocument/2006/relationships/font" Target="fonts/Fraunces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