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Psychedelics and Their Potential in Therapeutic Practice</w:t>
      </w:r>
    </w:p>
    <w:p w:rsidR="00000000" w:rsidDel="00000000" w:rsidP="00000000" w:rsidRDefault="00000000" w:rsidRPr="00000000" w14:paraId="00000004">
      <w:pPr>
        <w:spacing w:line="48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SierraLynn Anderson</w:t>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of Professional and Continuing Studies, University of Oklahoma</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LSCJ 4143: Drugs and Society</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Chuck Gerhart</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 11, 2022</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certify that I have read A Student’s Guide to Academic Integrity at the University of Oklahoma, and this paper is an original paper composed by me for this course. Except where properly cited and attributed, it has not been copied or closely reworded from any other source and has not been submitted as a whole, or in part, for credit in any other course at OU or any other educational institution. It has not been created or submitted for any other purpose such as a job assignment at my workplace or any other agency. </w:t>
      </w:r>
    </w:p>
    <w:p w:rsidR="00000000" w:rsidDel="00000000" w:rsidP="00000000" w:rsidRDefault="00000000" w:rsidRPr="00000000" w14:paraId="00000013">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Psychedelics or hallucinogenics are a class of psychoactive drugs that can alter one’s perception, cognitive processing, and overall mood. Psychedelics are agonist serotonergic hallucinogens, meaning that they target one’s serotonin 5-hydroxytryptamine 2A (5-HT2a) receptors (with a particular affinity for receptors expressed on “apical dendrites of neocortical pyramidal cells in layer V”) (Nichols, 2016). In lamen’s terms, this means psychedelics interact with serotonin receptors in a way that binds the receptor and mirrors the chemical, producing effects similar to serotonin uptake. An analysis of current research suggests that there may be significant benefits to the use of psychedelics, such as psilocybin, in therapeutic practices. </w:t>
      </w:r>
    </w:p>
    <w:p w:rsidR="00000000" w:rsidDel="00000000" w:rsidP="00000000" w:rsidRDefault="00000000" w:rsidRPr="00000000" w14:paraId="00000014">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media presents psychedelic drugs as recreational drugs only used by hippies and stoners. However, hallucinogenics have historically been used in spiritual, medicinal, and other socio-cultural practices in many different cultures and may be the oldest class of psychopharmacological agents known to man (Nichols, 2016). Over the centuries, individuals who have had documented hallucinations and visual experiences were often believed to be receiving holy or divine messages. Thus, shamans, oracles, and other spiritual leaders have been documented utilizing hallucinogens to create spiritual visions and messages for generations (Hanson et al., 2018). Examples of the historical use of psychedelics include the use of Soma in ancient India, Peyote in services of the Native American Church, Ayahuasca by the Amazonian natives, and psilocybin mushrooms in Aztec healing and divine ceremonies (Nichols, 2016). In the United States, Hallucinogens were easily found in chemical supply houses with little to no restriction. However, consuming psychedelics did not become popular in the U.S until the Vietnam War and extreme racial demonstrations of the 1960s. People turned to psychedelics and other drugs as a pharmacological Band-Aid in order to mentally escape from the violence and war propaganda. Psychedelics became even more popular when medical professionals, such as the psychologist Timothy Leary, began to preach how psychedelics allowed one to get in touch with their inner self and achieve inner peace. Timothy Leary was a Harvard professor who proudly boasted his support for hallucinogens and their therapeutic qualities and continued to do so even after their federal outlaw in the mid-1960s. After his termination from Harvard due to his supporting viewpoint, Leary created the League of Spiritual Discovery (L.S.D.) with lysergic acid diethylamide (LSD) as their sacrament (Hanson et al., 2018). Leary created this group to retain legal access to LSD and encourage members to use hallucinogens in a controlled manner. However, the League of Spiritual Discovery quickly became just a way for members to gain access to illicit drugs for recreational use, and L.S.D was quickly shut down by the federal government (Hanson et al., 2018). Today, the use of psychedelics is mainly reserved for teenagers and young adults. </w:t>
      </w:r>
    </w:p>
    <w:p w:rsidR="00000000" w:rsidDel="00000000" w:rsidP="00000000" w:rsidRDefault="00000000" w:rsidRPr="00000000" w14:paraId="00000015">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modern usage statistics do not remotely compare to the 17% of the U.S population consuming hallucinogenics in the 1960s and 1970s, teenagers and young adults still consume hallucinogens at an alarming rate. 1.4% of 8th graders, 2.7% of sophomores, and 4.3% of high school seniors reported consuming hallucinogens in 2018 (Johson, 2019 as cited by Hanson et al., 2018). Federal regulations may restrict accessibility to hallucinogenics, but they are still extremely easy to find. A local drug dealer in nearly every high school and college fraternity creates an easy path to illicit substances for teens and young adults. Even without these connections, a simple google search and examination of a few Reddit threads can lead a young adult directly to the Dark Web, where virtually anything can be purchased. </w:t>
      </w:r>
    </w:p>
    <w:p w:rsidR="00000000" w:rsidDel="00000000" w:rsidP="00000000" w:rsidRDefault="00000000" w:rsidRPr="00000000" w14:paraId="00000016">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research of hallucinogenics virtually ended upon the passing of the Controlled Substances Act of 1970. Decades later, the continued recreational use of psychedelics has encouraged the need for further empirical research. Recent studies on hallucinogens have focused on the use of psychedelics in conjunction with psychotherapy. Results have shown encouraging data that suggests a solid potential for psychedelics’ therapeutic and medicinal properties. A study was conducted in 2011 by Grob et al. in which twelve cancer patients with a cancer-related diagnosis of anxiety were given 0.2mg of psilocybin vs. a niacin placebo. The study initially showed no statistically significant benefits of psilocybin consumption compared to the niacin placebo. However, the participants’ subscale scores on the Spielberger State-Trait Anxiety Inventory (STAI) revealed anxiety at 1 and 3 months posttreatment had significantly reduced compared to their pretreatment baseline. Likewise, participants’ scores on the Beck Depression Inventory (BDI) revealed a significant increase in mood at the six month baseline (Nichols, 2017). Similarly and more recently, two studies were conducted by Johns Hopkins University (JHU) and New York University (NYU) involving larger participant groups afflicted with cancer-related psychosocial distress (CRPD) and higher doses of psilocybin (21-30mg). These studies represent the first “sufficiently powered, formal double-blind, placebo-controlled” assessment of hallucinogenics for therapeutic efficacy (Nichols, 2017). The studies utilized the Hamilton Anxiety Rating Scale (HAM-A), the STAI, the Hamilton Depression Rating Scale (HAM-D), and the BDI as measures for therapeutic efficacy. Both studies showed that psilocybin administered in a controlled environment and dosage resulted in a significant and enduring decrease in CRPD symptoms that positively correlated with a more intense “mystical experience” (which directly correlates with dosage) (Nichols, 2017). Similar studies have since been conducted to determine the potential of psychedelics to treat other disorders such as obsessive-compulsive disorder and addiction and have, again, resulted in significant decreases in symptoms (Nichols, 2017). Researchers have long acknowledged the effects psychedelics have on the central nervous system. In recent times, however, researchers have begun to explore the anti-inflammatory properties of serotonergic psychedelics. As psychedelics target the 5-HT2a receptor (the serotonin receptor that is most widely expressed by mammals), they display great potential for minimizing the symptoms of inflammatory diseases that target the central nervous system (CNS), such as Alzheimer’s disease. According to Nichols (2017), human trials utilizing serotonergic psychedelics have not yet begun, but animal trials have already shown “profound effects” in animals modeling human inflammatory diseases. </w:t>
      </w:r>
    </w:p>
    <w:p w:rsidR="00000000" w:rsidDel="00000000" w:rsidP="00000000" w:rsidRDefault="00000000" w:rsidRPr="00000000" w14:paraId="00000017">
      <w:pPr>
        <w:spacing w:after="240" w:before="240"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understandable to assume that the consumption of any illicit drug may lead to adverse or negative consequences. However, outside factors such as dosage, environment, and physiological well-being have proved to play major factors in the likelihood of adverse and enduring consequences occurring. This especially reigns true regarding the consumption of hallucinogenic drugs such as psilocybin, the psychoactive ingredient found in Psilocybe and other fungi. While psilocybin has an extremely low level of physiological toxicity, it can sometimes produce acute and adverse effects. In some rare cases, it has been shown to induce long-term and distressing psychological reactions. In 2016, the Journal of Psychopharmacology published an article discussing a recent survey and its results regarding the adverse effects of ingesting psilocybin. The online survey was completed by nearly 2000 participants (78% being male with an average age of 30 yrs) and required them to detail their “single most psychologically difficult or challenging experience,” what some would refer to as a “bad trip,” after consuming psilocybin mushrooms. The results of the Carbonaro et al. study (2016) are as follows:</w:t>
      </w:r>
    </w:p>
    <w:p w:rsidR="00000000" w:rsidDel="00000000" w:rsidP="00000000" w:rsidRDefault="00000000" w:rsidRPr="00000000" w14:paraId="00000018">
      <w:pPr>
        <w:spacing w:after="240" w:before="240" w:line="48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 rated the experience as among the top five (including single most) most challenging experiences of their lifetime, 11% reported putting themselves or others at risk of physical harm, 2.6% reported behaving in a physically aggressive or violent manner, and 2.7% reported getting medical help during the occasion. Of those whose session occurred at least 1 year earlier, 7.6% reported that they sought treatment for one or more psychological symptoms they attributed to the challenging psilocybin experience. (p. 1275)</w:t>
      </w:r>
    </w:p>
    <w:p w:rsidR="00000000" w:rsidDel="00000000" w:rsidP="00000000" w:rsidRDefault="00000000" w:rsidRPr="00000000" w14:paraId="00000019">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these results, three participants reported “enduring psychotic symptoms” and three participants attempted suicide after consuming psilocybin mushrooms. According to the data depicting the survey’s regression analyses, the severity of a participant’s negative reaction positively correlated with the dosage of psilocybin (Carbonaro et al., 2016).</w:t>
      </w:r>
    </w:p>
    <w:p w:rsidR="00000000" w:rsidDel="00000000" w:rsidP="00000000" w:rsidRDefault="00000000" w:rsidRPr="00000000" w14:paraId="0000001A">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It is important, however, to acknowledge that the participants of this survey consumed psilocybin mushrooms at home, in an uncontrolled environment, and with varying dosages. In a review published by the Neuropharmacology journal, Johnson et al. addressed the consequences and abuse potential of psilocybin when administered in a controlled, medical environment with precise dosing. When evaluating psilocybin using the 8-factors of the Controlled Substances Act (CSA), Johnson et al. determined that the evidence evaluated in the study did characterize psilocybin as a substance bearing a certain degree of abuse potential with possible psychological and physiological risks. Their findings placed psilocybin in the category of Schedule IV Controlled Substances, meaning it has an abuse potential similar to drugs such as alprazolam (Xanax), clonazepam (Klonopin), and diazepam (Valium). Although this contradicts the 1970’s placement of psilocybin in the category of Schedule I Controlled Substances, it provides compelling evidence of its abusive potential and highlights the need for extensive continued research on the side effects of psilocybin before it can be used in therapeutic practices (Johnson et al., 2018).</w:t>
      </w:r>
    </w:p>
    <w:p w:rsidR="00000000" w:rsidDel="00000000" w:rsidP="00000000" w:rsidRDefault="00000000" w:rsidRPr="00000000" w14:paraId="0000001B">
      <w:pPr>
        <w:spacing w:after="240" w:before="240"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Although there are many roadblocks in the path to scientific discovery, hallucinogenics unquestionably deserve further research and to fully be considered for therapeutic use. Only through scientific review and clinical trials will modern society begin to understand the full breadth of hallucinogenic potential and efficacy in treatment. Overall, current research suggests that psychedelics display an immense potential for therapeutic and medicinal practices when administered in a controlled environment and monitored dosages. Ancient civilizations around the entire world have recognized the vast capabilities of psychedelic drugs for centuries. It would be ignorant of our society to deny the discoveries and practices of our ancestors without exploring the properties and abilities of the natural substances provided to us by our planet.</w:t>
      </w:r>
    </w:p>
    <w:p w:rsidR="00000000" w:rsidDel="00000000" w:rsidP="00000000" w:rsidRDefault="00000000" w:rsidRPr="00000000" w14:paraId="0000001C">
      <w:pPr>
        <w:spacing w:after="240" w:before="240" w:line="48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D">
      <w:pPr>
        <w:spacing w:after="240" w:before="24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References</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Carbonaro, T., Bradstreet, M., Barrett, F., MacLean, K., Jesse, R., Johnson, M., &amp; Griffiths, R. (2016). Survey study of challenging experiences after ingesting psilocybin mushrooms: Acute and enduring positive and negative consequences. </w:t>
      </w:r>
      <w:r w:rsidDel="00000000" w:rsidR="00000000" w:rsidRPr="00000000">
        <w:rPr>
          <w:rFonts w:ascii="Times New Roman" w:cs="Times New Roman" w:eastAsia="Times New Roman" w:hAnsi="Times New Roman"/>
          <w:i w:val="1"/>
          <w:iCs w:val="1"/>
          <w:sz w:val="24"/>
          <w:szCs w:val="24"/>
          <w:rtl w:val="0"/>
        </w:rPr>
        <w:t xml:space="preserve">Journal of Psychopharmacology</w:t>
      </w:r>
      <w:r w:rsidDel="00000000" w:rsidR="00000000" w:rsidRPr="00000000">
        <w:rPr>
          <w:rFonts w:ascii="Times New Roman" w:cs="Times New Roman" w:eastAsia="Times New Roman" w:hAnsi="Times New Roman"/>
          <w:sz w:val="24"/>
          <w:szCs w:val="24"/>
          <w:rtl w:val="0"/>
        </w:rPr>
        <w:t xml:space="preserve">, 30(12), 1268-1278.</w:t>
      </w:r>
    </w:p>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180" w:before="18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Hanson, G. R., Venturelli, P. J., &amp; Fleckenstein, A. E. (2018). </w:t>
      </w:r>
      <w:r w:rsidDel="00000000" w:rsidR="00000000" w:rsidRPr="00000000">
        <w:rPr>
          <w:rFonts w:ascii="Times New Roman" w:cs="Times New Roman" w:eastAsia="Times New Roman" w:hAnsi="Times New Roman"/>
          <w:i w:val="1"/>
          <w:iCs w:val="1"/>
          <w:sz w:val="24"/>
          <w:szCs w:val="24"/>
          <w:rtl w:val="0"/>
        </w:rPr>
        <w:t xml:space="preserve">Drugs and society</w:t>
      </w:r>
      <w:r w:rsidDel="00000000" w:rsidR="00000000" w:rsidRPr="00000000">
        <w:rPr>
          <w:rFonts w:ascii="Times New Roman" w:cs="Times New Roman" w:eastAsia="Times New Roman" w:hAnsi="Times New Roman"/>
          <w:sz w:val="24"/>
          <w:szCs w:val="24"/>
          <w:rtl w:val="0"/>
        </w:rPr>
        <w:t xml:space="preserve"> (14th ed.). Jones and Bartlett Learning.</w:t>
      </w:r>
    </w:p>
    <w:p w:rsidR="00000000" w:rsidDel="00000000" w:rsidP="00000000" w:rsidRDefault="00000000" w:rsidRPr="00000000" w14:paraId="00000023">
      <w:pPr>
        <w:spacing w:after="180" w:before="180" w:line="480" w:lineRule="auto"/>
        <w:ind w:left="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Johnson, M., Griffiths, R., Hendricks, P., &amp; Henningfield, J. (2018). The abuse potential of medical psilocybin according to the 8 factors of the Controlled Substances Act. </w:t>
      </w:r>
      <w:r w:rsidDel="00000000" w:rsidR="00000000" w:rsidRPr="00000000">
        <w:rPr>
          <w:rFonts w:ascii="Times New Roman" w:cs="Times New Roman" w:eastAsia="Times New Roman" w:hAnsi="Times New Roman"/>
          <w:i w:val="1"/>
          <w:iCs w:val="1"/>
          <w:sz w:val="24"/>
          <w:szCs w:val="24"/>
          <w:rtl w:val="0"/>
        </w:rPr>
        <w:t xml:space="preserve">Neuropharmacology</w:t>
      </w:r>
      <w:r w:rsidDel="00000000" w:rsidR="00000000" w:rsidRPr="00000000">
        <w:rPr>
          <w:rFonts w:ascii="Times New Roman" w:cs="Times New Roman" w:eastAsia="Times New Roman" w:hAnsi="Times New Roman"/>
          <w:sz w:val="24"/>
          <w:szCs w:val="24"/>
          <w:rtl w:val="0"/>
        </w:rPr>
        <w:t xml:space="preserve">, 142, 143-166.</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Nichols, D. (2016). Psychedelics. </w:t>
      </w:r>
      <w:r w:rsidDel="00000000" w:rsidR="00000000" w:rsidRPr="00000000">
        <w:rPr>
          <w:rFonts w:ascii="Times New Roman" w:cs="Times New Roman" w:eastAsia="Times New Roman" w:hAnsi="Times New Roman"/>
          <w:i w:val="1"/>
          <w:iCs w:val="1"/>
          <w:sz w:val="24"/>
          <w:szCs w:val="24"/>
          <w:rtl w:val="0"/>
        </w:rPr>
        <w:t xml:space="preserve">Pharmacological Reviews</w:t>
      </w:r>
      <w:r w:rsidDel="00000000" w:rsidR="00000000" w:rsidRPr="00000000">
        <w:rPr>
          <w:rFonts w:ascii="Times New Roman" w:cs="Times New Roman" w:eastAsia="Times New Roman" w:hAnsi="Times New Roman"/>
          <w:sz w:val="24"/>
          <w:szCs w:val="24"/>
          <w:rtl w:val="0"/>
        </w:rPr>
        <w:t xml:space="preserve">, 68(2), 264-355.</w:t>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Nichols, D., Johnson, M., &amp; Nichols, C. (2017). Psychedelics as medicines: An emerging new paradigm. </w:t>
      </w:r>
      <w:r w:rsidDel="00000000" w:rsidR="00000000" w:rsidRPr="00000000">
        <w:rPr>
          <w:rFonts w:ascii="Times New Roman" w:cs="Times New Roman" w:eastAsia="Times New Roman" w:hAnsi="Times New Roman"/>
          <w:i w:val="1"/>
          <w:iCs w:val="1"/>
          <w:sz w:val="24"/>
          <w:szCs w:val="24"/>
          <w:rtl w:val="0"/>
        </w:rPr>
        <w:t xml:space="preserve">Clinical Pharmacology and Therapeutics</w:t>
      </w:r>
      <w:r w:rsidDel="00000000" w:rsidR="00000000" w:rsidRPr="00000000">
        <w:rPr>
          <w:rFonts w:ascii="Times New Roman" w:cs="Times New Roman" w:eastAsia="Times New Roman" w:hAnsi="Times New Roman"/>
          <w:sz w:val="24"/>
          <w:szCs w:val="24"/>
          <w:rtl w:val="0"/>
        </w:rPr>
        <w:t xml:space="preserve">, 101(2), 209-219.</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Nutt, D., Erritzoe, D., &amp; Carhart-Harris, R. (2020). Psychedelic psychiatry’s brave new world. </w:t>
      </w:r>
      <w:r w:rsidDel="00000000" w:rsidR="00000000" w:rsidRPr="00000000">
        <w:rPr>
          <w:rFonts w:ascii="Times New Roman" w:cs="Times New Roman" w:eastAsia="Times New Roman" w:hAnsi="Times New Roman"/>
          <w:i w:val="1"/>
          <w:iCs w:val="1"/>
          <w:sz w:val="24"/>
          <w:szCs w:val="24"/>
          <w:rtl w:val="0"/>
        </w:rPr>
        <w:t xml:space="preserve">Cell</w:t>
      </w:r>
      <w:r w:rsidDel="00000000" w:rsidR="00000000" w:rsidRPr="00000000">
        <w:rPr>
          <w:rFonts w:ascii="Times New Roman" w:cs="Times New Roman" w:eastAsia="Times New Roman" w:hAnsi="Times New Roman"/>
          <w:sz w:val="24"/>
          <w:szCs w:val="24"/>
          <w:rtl w:val="0"/>
        </w:rPr>
        <w:t xml:space="preserve">, 181(1), 24-28.</w:t>
      </w:r>
    </w:p>
    <w:p w:rsidR="00000000" w:rsidDel="00000000" w:rsidP="00000000" w:rsidRDefault="00000000" w:rsidRPr="00000000" w14:paraId="0000002B">
      <w:pPr>
        <w:spacing w:after="240" w:before="240"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Justice. (n.d.). </w:t>
      </w:r>
      <w:r w:rsidDel="00000000" w:rsidR="00000000" w:rsidRPr="00000000">
        <w:rPr>
          <w:rFonts w:ascii="Times New Roman" w:cs="Times New Roman" w:eastAsia="Times New Roman" w:hAnsi="Times New Roman"/>
          <w:i w:val="1"/>
          <w:iCs w:val="1"/>
          <w:sz w:val="24"/>
          <w:szCs w:val="24"/>
          <w:rtl w:val="0"/>
        </w:rPr>
        <w:t xml:space="preserve">Definition of Controlled Substance Schedules</w:t>
      </w:r>
      <w:r w:rsidDel="00000000" w:rsidR="00000000" w:rsidRPr="00000000">
        <w:rPr>
          <w:rFonts w:ascii="Times New Roman" w:cs="Times New Roman" w:eastAsia="Times New Roman" w:hAnsi="Times New Roman"/>
          <w:sz w:val="24"/>
          <w:szCs w:val="24"/>
          <w:rtl w:val="0"/>
        </w:rPr>
        <w:t xml:space="preserve">. Retrieved February 28, 2022, from https://www.deadiversion.usdoj.gov/schedules/ </w:t>
      </w:r>
    </w:p>
    <w:p w:rsidR="00000000" w:rsidDel="00000000" w:rsidP="00000000" w:rsidRDefault="00000000" w:rsidRPr="00000000" w14:paraId="0000002C">
      <w:pP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D">
      <w:pPr>
        <w:spacing w:line="480"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E">
      <w:pP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F">
      <w:pPr>
        <w:spacing w:line="480" w:lineRule="auto"/>
        <w:ind w:left="0" w:firstLine="720"/>
        <w:rPr>
          <w:rFonts w:ascii="Times New Roman" w:cs="Times New Roman" w:eastAsia="Times New Roman" w:hAnsi="Times New Roman"/>
          <w:sz w:val="24"/>
          <w:szCs w:val="24"/>
          <w:highlight w:val="white"/>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